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7AC9" w14:textId="77777777" w:rsidR="000924D0" w:rsidRPr="00F755AB" w:rsidRDefault="000924D0" w:rsidP="00930B38">
      <w:pPr>
        <w:pStyle w:val="Date10"/>
        <w:rPr>
          <w:rStyle w:val="Rfrenceintense"/>
          <w:b w:val="0"/>
          <w:bCs w:val="0"/>
          <w:smallCaps w:val="0"/>
          <w:color w:val="auto"/>
          <w:spacing w:val="0"/>
        </w:rPr>
      </w:pPr>
    </w:p>
    <w:p w14:paraId="43D437E7" w14:textId="77777777" w:rsidR="00F604E2" w:rsidRPr="00F755AB" w:rsidRDefault="00F604E2" w:rsidP="00F604E2">
      <w:pPr>
        <w:pStyle w:val="Titre1"/>
        <w:jc w:val="right"/>
        <w:rPr>
          <w:iCs/>
          <w:smallCaps/>
          <w:sz w:val="16"/>
          <w:szCs w:val="16"/>
        </w:rPr>
      </w:pPr>
      <w:r w:rsidRPr="00F755AB">
        <w:rPr>
          <w:iCs/>
          <w:smallCaps/>
          <w:sz w:val="16"/>
          <w:szCs w:val="16"/>
        </w:rPr>
        <w:t xml:space="preserve">Direction de la Protection de la Santé et de </w:t>
      </w:r>
      <w:proofErr w:type="spellStart"/>
      <w:r w:rsidRPr="00F755AB">
        <w:rPr>
          <w:iCs/>
          <w:smallCaps/>
          <w:sz w:val="16"/>
          <w:szCs w:val="16"/>
        </w:rPr>
        <w:t>l’Autonomie</w:t>
      </w:r>
      <w:proofErr w:type="spellEnd"/>
    </w:p>
    <w:p w14:paraId="3F716C50" w14:textId="77777777" w:rsidR="00F604E2" w:rsidRPr="00F755AB" w:rsidRDefault="00F604E2" w:rsidP="00F604E2">
      <w:pPr>
        <w:pStyle w:val="Titre1"/>
        <w:jc w:val="right"/>
        <w:rPr>
          <w:iCs/>
          <w:smallCaps/>
          <w:sz w:val="16"/>
          <w:szCs w:val="16"/>
        </w:rPr>
      </w:pPr>
      <w:r w:rsidRPr="00F755AB">
        <w:rPr>
          <w:iCs/>
          <w:smallCaps/>
          <w:sz w:val="16"/>
          <w:szCs w:val="16"/>
        </w:rPr>
        <w:t xml:space="preserve">Direction </w:t>
      </w:r>
      <w:proofErr w:type="spellStart"/>
      <w:r w:rsidRPr="00F755AB">
        <w:rPr>
          <w:iCs/>
          <w:smallCaps/>
          <w:sz w:val="16"/>
          <w:szCs w:val="16"/>
        </w:rPr>
        <w:t>déléguée</w:t>
      </w:r>
      <w:proofErr w:type="spellEnd"/>
      <w:r w:rsidRPr="00F755AB">
        <w:rPr>
          <w:iCs/>
          <w:smallCaps/>
          <w:sz w:val="16"/>
          <w:szCs w:val="16"/>
        </w:rPr>
        <w:t xml:space="preserve"> à la Santé </w:t>
      </w:r>
      <w:proofErr w:type="spellStart"/>
      <w:r w:rsidRPr="00F755AB">
        <w:rPr>
          <w:iCs/>
          <w:smallCaps/>
          <w:sz w:val="16"/>
          <w:szCs w:val="16"/>
        </w:rPr>
        <w:t>Publique</w:t>
      </w:r>
      <w:proofErr w:type="spellEnd"/>
      <w:r w:rsidRPr="00F755AB">
        <w:rPr>
          <w:iCs/>
          <w:smallCaps/>
          <w:sz w:val="16"/>
          <w:szCs w:val="16"/>
        </w:rPr>
        <w:t xml:space="preserve"> et aux </w:t>
      </w:r>
      <w:proofErr w:type="spellStart"/>
      <w:r w:rsidRPr="00F755AB">
        <w:rPr>
          <w:iCs/>
          <w:smallCaps/>
          <w:sz w:val="16"/>
          <w:szCs w:val="16"/>
        </w:rPr>
        <w:t>Environnements</w:t>
      </w:r>
      <w:proofErr w:type="spellEnd"/>
    </w:p>
    <w:p w14:paraId="7D551944" w14:textId="77777777" w:rsidR="00F604E2" w:rsidRPr="00F755AB" w:rsidRDefault="00F604E2" w:rsidP="00F604E2">
      <w:pPr>
        <w:pStyle w:val="Titre1"/>
        <w:jc w:val="right"/>
        <w:rPr>
          <w:iCs/>
          <w:smallCaps/>
          <w:sz w:val="16"/>
          <w:szCs w:val="16"/>
        </w:rPr>
      </w:pPr>
      <w:proofErr w:type="spellStart"/>
      <w:r w:rsidRPr="00F755AB">
        <w:rPr>
          <w:iCs/>
          <w:smallCaps/>
          <w:sz w:val="16"/>
          <w:szCs w:val="16"/>
        </w:rPr>
        <w:t>Pôle</w:t>
      </w:r>
      <w:proofErr w:type="spellEnd"/>
      <w:r w:rsidRPr="00F755AB">
        <w:rPr>
          <w:iCs/>
          <w:smallCaps/>
          <w:sz w:val="16"/>
          <w:szCs w:val="16"/>
        </w:rPr>
        <w:t xml:space="preserve"> </w:t>
      </w:r>
      <w:proofErr w:type="spellStart"/>
      <w:r w:rsidRPr="00F755AB">
        <w:rPr>
          <w:iCs/>
          <w:smallCaps/>
          <w:sz w:val="16"/>
          <w:szCs w:val="16"/>
        </w:rPr>
        <w:t>Environnements</w:t>
      </w:r>
      <w:proofErr w:type="spellEnd"/>
      <w:r w:rsidRPr="00F755AB">
        <w:rPr>
          <w:iCs/>
          <w:smallCaps/>
          <w:sz w:val="16"/>
          <w:szCs w:val="16"/>
        </w:rPr>
        <w:t xml:space="preserve">, promotion et </w:t>
      </w:r>
      <w:proofErr w:type="spellStart"/>
      <w:r w:rsidRPr="00F755AB">
        <w:rPr>
          <w:iCs/>
          <w:smallCaps/>
          <w:sz w:val="16"/>
          <w:szCs w:val="16"/>
        </w:rPr>
        <w:t>prévention</w:t>
      </w:r>
      <w:proofErr w:type="spellEnd"/>
      <w:r w:rsidRPr="00F755AB">
        <w:rPr>
          <w:iCs/>
          <w:smallCaps/>
          <w:sz w:val="16"/>
          <w:szCs w:val="16"/>
        </w:rPr>
        <w:t xml:space="preserve"> de la santé</w:t>
      </w:r>
    </w:p>
    <w:p w14:paraId="44B74E99" w14:textId="77777777" w:rsidR="00F604E2" w:rsidRPr="00F755AB" w:rsidRDefault="00F604E2" w:rsidP="00F604E2">
      <w:pPr>
        <w:pStyle w:val="En-tte"/>
        <w:jc w:val="right"/>
        <w:rPr>
          <w:i/>
          <w:smallCaps/>
          <w:sz w:val="16"/>
          <w:szCs w:val="16"/>
        </w:rPr>
      </w:pPr>
      <w:r w:rsidRPr="00F755AB">
        <w:rPr>
          <w:i/>
          <w:smallCaps/>
          <w:sz w:val="16"/>
          <w:szCs w:val="16"/>
        </w:rPr>
        <w:t xml:space="preserve">Education </w:t>
      </w:r>
      <w:proofErr w:type="spellStart"/>
      <w:r w:rsidRPr="00F755AB">
        <w:rPr>
          <w:i/>
          <w:smallCaps/>
          <w:sz w:val="16"/>
          <w:szCs w:val="16"/>
        </w:rPr>
        <w:t>Thérapeutique</w:t>
      </w:r>
      <w:proofErr w:type="spellEnd"/>
      <w:r w:rsidRPr="00F755AB">
        <w:rPr>
          <w:i/>
          <w:smallCaps/>
          <w:sz w:val="16"/>
          <w:szCs w:val="16"/>
        </w:rPr>
        <w:t xml:space="preserve"> du Patient</w:t>
      </w:r>
    </w:p>
    <w:p w14:paraId="474F1807" w14:textId="77777777" w:rsidR="0079276E" w:rsidRPr="00F207C0" w:rsidRDefault="0079276E" w:rsidP="00B55B58">
      <w:pPr>
        <w:pStyle w:val="Corpsdetexte"/>
        <w:rPr>
          <w:noProof/>
        </w:rPr>
      </w:pPr>
    </w:p>
    <w:p w14:paraId="40599338" w14:textId="77777777" w:rsidR="0079276E" w:rsidRPr="00F207C0" w:rsidRDefault="0079276E" w:rsidP="00B55B58">
      <w:pPr>
        <w:pStyle w:val="Corpsdetexte"/>
      </w:pPr>
    </w:p>
    <w:p w14:paraId="47719A8B" w14:textId="77777777" w:rsidR="000924D0" w:rsidRPr="00F207C0" w:rsidRDefault="000924D0"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92"/>
        <w:gridCol w:w="4990"/>
      </w:tblGrid>
      <w:tr w:rsidR="00F207C0" w:rsidRPr="00F207C0" w14:paraId="7F57141A" w14:textId="77777777" w:rsidTr="00F261BB">
        <w:trPr>
          <w:trHeight w:val="483"/>
        </w:trPr>
        <w:tc>
          <w:tcPr>
            <w:tcW w:w="5110" w:type="dxa"/>
          </w:tcPr>
          <w:p w14:paraId="6C42A01C" w14:textId="7A05E646" w:rsidR="00941377" w:rsidRPr="00F207C0" w:rsidRDefault="00E97EB5" w:rsidP="00B55B58">
            <w:pPr>
              <w:pStyle w:val="Corpsdetexte"/>
            </w:pPr>
            <w:r w:rsidRPr="00F207C0">
              <w:t xml:space="preserve">Philippe Marcou  </w:t>
            </w:r>
          </w:p>
          <w:p w14:paraId="09DAB0CE" w14:textId="3C1DA80E" w:rsidR="00941377" w:rsidRPr="00F207C0" w:rsidRDefault="00E97EB5" w:rsidP="00E97EB5">
            <w:pPr>
              <w:pStyle w:val="Sous-titre2"/>
              <w:jc w:val="left"/>
            </w:pPr>
            <w:r w:rsidRPr="00F207C0">
              <w:t>Chargé de mission ETP au pôle EPPS</w:t>
            </w:r>
          </w:p>
        </w:tc>
        <w:tc>
          <w:tcPr>
            <w:tcW w:w="5110" w:type="dxa"/>
          </w:tcPr>
          <w:p w14:paraId="25BD7C8B" w14:textId="6544C793" w:rsidR="00941377" w:rsidRPr="00F755AB" w:rsidRDefault="00E97EB5" w:rsidP="00E97EB5">
            <w:pPr>
              <w:pStyle w:val="Date2"/>
              <w:jc w:val="left"/>
              <w:rPr>
                <w:color w:val="auto"/>
              </w:rPr>
            </w:pPr>
            <w:r w:rsidRPr="00F755AB">
              <w:rPr>
                <w:color w:val="auto"/>
              </w:rPr>
              <w:t xml:space="preserve">                                                   Limoges, le </w:t>
            </w:r>
            <w:r w:rsidR="002C1B13">
              <w:rPr>
                <w:color w:val="auto"/>
              </w:rPr>
              <w:t>4</w:t>
            </w:r>
            <w:r w:rsidRPr="00F755AB">
              <w:rPr>
                <w:color w:val="auto"/>
              </w:rPr>
              <w:t xml:space="preserve"> </w:t>
            </w:r>
            <w:r w:rsidR="002C1B13">
              <w:rPr>
                <w:color w:val="auto"/>
              </w:rPr>
              <w:t>mars</w:t>
            </w:r>
            <w:r w:rsidRPr="00F755AB">
              <w:rPr>
                <w:color w:val="auto"/>
              </w:rPr>
              <w:t xml:space="preserve"> 2025</w:t>
            </w:r>
          </w:p>
          <w:p w14:paraId="715FB2B1" w14:textId="77777777" w:rsidR="00941377" w:rsidRPr="00F207C0" w:rsidRDefault="00941377" w:rsidP="00B55B58">
            <w:pPr>
              <w:pStyle w:val="Corpsdetexte"/>
            </w:pPr>
          </w:p>
        </w:tc>
      </w:tr>
      <w:tr w:rsidR="00F207C0" w:rsidRPr="00F207C0" w14:paraId="4DC72BB3" w14:textId="77777777" w:rsidTr="00F261BB">
        <w:trPr>
          <w:trHeight w:val="483"/>
        </w:trPr>
        <w:tc>
          <w:tcPr>
            <w:tcW w:w="5110" w:type="dxa"/>
          </w:tcPr>
          <w:p w14:paraId="653E0678" w14:textId="088FC0E3" w:rsidR="00E97EB5" w:rsidRPr="00F207C0" w:rsidRDefault="00E97EB5" w:rsidP="00B55B58">
            <w:pPr>
              <w:pStyle w:val="Corpsdetexte"/>
            </w:pPr>
          </w:p>
        </w:tc>
        <w:tc>
          <w:tcPr>
            <w:tcW w:w="5110" w:type="dxa"/>
          </w:tcPr>
          <w:p w14:paraId="178B1591" w14:textId="77777777" w:rsidR="00E97EB5" w:rsidRPr="00F755AB" w:rsidRDefault="00E97EB5" w:rsidP="00B55B58">
            <w:pPr>
              <w:pStyle w:val="Date2"/>
              <w:rPr>
                <w:color w:val="auto"/>
              </w:rPr>
            </w:pPr>
          </w:p>
        </w:tc>
      </w:tr>
      <w:tr w:rsidR="00E97EB5" w:rsidRPr="00F207C0" w14:paraId="2DDE851C" w14:textId="77777777" w:rsidTr="00F261BB">
        <w:trPr>
          <w:trHeight w:val="483"/>
        </w:trPr>
        <w:tc>
          <w:tcPr>
            <w:tcW w:w="5110" w:type="dxa"/>
          </w:tcPr>
          <w:p w14:paraId="7B85F097" w14:textId="77777777" w:rsidR="00E97EB5" w:rsidRPr="00F207C0" w:rsidRDefault="00E97EB5" w:rsidP="00B55B58">
            <w:pPr>
              <w:pStyle w:val="Corpsdetexte"/>
            </w:pPr>
          </w:p>
        </w:tc>
        <w:tc>
          <w:tcPr>
            <w:tcW w:w="5110" w:type="dxa"/>
          </w:tcPr>
          <w:p w14:paraId="5C6BC7D8" w14:textId="77777777" w:rsidR="00E97EB5" w:rsidRPr="00F755AB" w:rsidRDefault="00E97EB5" w:rsidP="00B55B58">
            <w:pPr>
              <w:pStyle w:val="Date2"/>
              <w:rPr>
                <w:color w:val="auto"/>
              </w:rPr>
            </w:pPr>
          </w:p>
        </w:tc>
      </w:tr>
    </w:tbl>
    <w:p w14:paraId="4AAB278D" w14:textId="77777777" w:rsidR="00941377" w:rsidRPr="00F207C0" w:rsidRDefault="00941377" w:rsidP="00B55B58">
      <w:pPr>
        <w:pStyle w:val="Corpsdetexte"/>
      </w:pPr>
    </w:p>
    <w:p w14:paraId="23191AAD" w14:textId="77777777" w:rsidR="00941377" w:rsidRPr="00F207C0" w:rsidRDefault="00941377" w:rsidP="00B55B58">
      <w:pPr>
        <w:pStyle w:val="Corpsdetexte"/>
      </w:pPr>
    </w:p>
    <w:p w14:paraId="15211925" w14:textId="77777777" w:rsidR="00CD5E65" w:rsidRPr="00F207C0" w:rsidRDefault="00941377" w:rsidP="00B55B58">
      <w:pPr>
        <w:pStyle w:val="Titrecentral"/>
      </w:pPr>
      <w:r w:rsidRPr="00F207C0">
        <w:t>NOTE</w:t>
      </w:r>
    </w:p>
    <w:p w14:paraId="31CE600F" w14:textId="77777777" w:rsidR="00941377" w:rsidRPr="00F207C0" w:rsidRDefault="00941377" w:rsidP="005C7D7E">
      <w:pPr>
        <w:pStyle w:val="Titre1"/>
        <w:ind w:left="0"/>
        <w:rPr>
          <w:lang w:val="fr-FR"/>
        </w:rPr>
      </w:pPr>
    </w:p>
    <w:p w14:paraId="7A32A854" w14:textId="530B8BF1" w:rsidR="003240AC" w:rsidRPr="00F207C0" w:rsidRDefault="00E97EB5" w:rsidP="00F755AB">
      <w:pPr>
        <w:pStyle w:val="Corpsdetexte"/>
        <w:jc w:val="center"/>
        <w:rPr>
          <w:b/>
          <w:bCs/>
        </w:rPr>
        <w:sectPr w:rsidR="003240AC" w:rsidRPr="00F207C0" w:rsidSect="002C08FC">
          <w:headerReference w:type="default" r:id="rId8"/>
          <w:footerReference w:type="even" r:id="rId9"/>
          <w:footerReference w:type="default" r:id="rId10"/>
          <w:type w:val="continuous"/>
          <w:pgSz w:w="11910" w:h="16840"/>
          <w:pgMar w:top="966" w:right="964" w:bottom="964" w:left="964" w:header="720" w:footer="720" w:gutter="0"/>
          <w:cols w:space="720"/>
        </w:sectPr>
      </w:pPr>
      <w:r w:rsidRPr="00F207C0">
        <w:rPr>
          <w:b/>
          <w:bCs/>
        </w:rPr>
        <w:t>Programme</w:t>
      </w:r>
      <w:r w:rsidR="00713359" w:rsidRPr="00F207C0">
        <w:rPr>
          <w:b/>
          <w:bCs/>
        </w:rPr>
        <w:t>s</w:t>
      </w:r>
      <w:r w:rsidRPr="00F207C0">
        <w:rPr>
          <w:b/>
          <w:bCs/>
        </w:rPr>
        <w:t xml:space="preserve"> d’E</w:t>
      </w:r>
      <w:r w:rsidR="005C7D7E" w:rsidRPr="00CB19AB">
        <w:rPr>
          <w:b/>
          <w:bCs/>
        </w:rPr>
        <w:t xml:space="preserve">ducation </w:t>
      </w:r>
      <w:r w:rsidR="005C7D7E" w:rsidRPr="00F207C0">
        <w:rPr>
          <w:b/>
          <w:bCs/>
        </w:rPr>
        <w:t>thérapeutique des patients (E</w:t>
      </w:r>
      <w:r w:rsidRPr="00F207C0">
        <w:rPr>
          <w:b/>
          <w:bCs/>
        </w:rPr>
        <w:t>TP</w:t>
      </w:r>
      <w:r w:rsidR="005C7D7E" w:rsidRPr="00F207C0">
        <w:rPr>
          <w:b/>
          <w:bCs/>
        </w:rPr>
        <w:t>)</w:t>
      </w:r>
      <w:r w:rsidRPr="00F207C0">
        <w:rPr>
          <w:b/>
          <w:bCs/>
        </w:rPr>
        <w:t xml:space="preserve"> organisé</w:t>
      </w:r>
      <w:r w:rsidR="00713359" w:rsidRPr="00F207C0">
        <w:rPr>
          <w:b/>
          <w:bCs/>
        </w:rPr>
        <w:t>s</w:t>
      </w:r>
      <w:r w:rsidRPr="00F207C0">
        <w:rPr>
          <w:b/>
          <w:bCs/>
        </w:rPr>
        <w:t xml:space="preserve"> </w:t>
      </w:r>
      <w:r w:rsidR="00DC149F" w:rsidRPr="00F207C0">
        <w:rPr>
          <w:b/>
          <w:bCs/>
        </w:rPr>
        <w:t>et financé</w:t>
      </w:r>
      <w:r w:rsidR="00713359" w:rsidRPr="00F207C0">
        <w:rPr>
          <w:b/>
          <w:bCs/>
        </w:rPr>
        <w:t>s</w:t>
      </w:r>
      <w:r w:rsidR="00DC149F" w:rsidRPr="00F207C0">
        <w:rPr>
          <w:b/>
          <w:bCs/>
        </w:rPr>
        <w:t xml:space="preserve"> par la </w:t>
      </w:r>
      <w:r w:rsidR="005C7D7E" w:rsidRPr="00F207C0">
        <w:rPr>
          <w:b/>
          <w:bCs/>
        </w:rPr>
        <w:t xml:space="preserve">tarification à l’activité (T2A) </w:t>
      </w:r>
      <w:r w:rsidRPr="00F207C0">
        <w:rPr>
          <w:b/>
          <w:bCs/>
        </w:rPr>
        <w:t>dans le cadre d’un temps d’hôpital de jour</w:t>
      </w:r>
      <w:r w:rsidR="005C7D7E" w:rsidRPr="00F207C0">
        <w:rPr>
          <w:b/>
          <w:bCs/>
        </w:rPr>
        <w:t>.</w:t>
      </w:r>
    </w:p>
    <w:p w14:paraId="1126FB2F" w14:textId="77777777" w:rsidR="000924D0" w:rsidRPr="00F207C0" w:rsidRDefault="000924D0" w:rsidP="00E97EB5">
      <w:pPr>
        <w:pStyle w:val="Corpsdetexte"/>
        <w:jc w:val="both"/>
      </w:pPr>
    </w:p>
    <w:p w14:paraId="1F7EEE00" w14:textId="77777777" w:rsidR="000924D0" w:rsidRPr="00F207C0" w:rsidRDefault="000924D0" w:rsidP="00E97EB5">
      <w:pPr>
        <w:pStyle w:val="Corpsdetexte"/>
        <w:jc w:val="both"/>
      </w:pPr>
    </w:p>
    <w:p w14:paraId="637D4B1E" w14:textId="16271DAC" w:rsidR="000924D0" w:rsidRPr="00F755AB" w:rsidRDefault="00807CCD" w:rsidP="00E97EB5">
      <w:pPr>
        <w:pStyle w:val="Objet"/>
        <w:jc w:val="both"/>
        <w:rPr>
          <w:rFonts w:asciiTheme="minorHAnsi" w:hAnsiTheme="minorHAnsi" w:cstheme="minorHAnsi"/>
          <w:color w:val="auto"/>
          <w:szCs w:val="20"/>
        </w:rPr>
      </w:pPr>
      <w:r w:rsidRPr="00F755AB">
        <w:rPr>
          <w:rStyle w:val="ObjetCar"/>
          <w:rFonts w:asciiTheme="minorHAnsi" w:hAnsiTheme="minorHAnsi" w:cstheme="minorHAnsi"/>
          <w:b/>
          <w:color w:val="auto"/>
          <w:szCs w:val="20"/>
        </w:rPr>
        <w:t xml:space="preserve">Objet </w:t>
      </w:r>
      <w:r w:rsidRPr="00F755AB">
        <w:rPr>
          <w:rFonts w:asciiTheme="minorHAnsi" w:hAnsiTheme="minorHAnsi" w:cstheme="minorHAnsi"/>
          <w:color w:val="auto"/>
          <w:szCs w:val="20"/>
        </w:rPr>
        <w:t xml:space="preserve">: </w:t>
      </w:r>
      <w:r w:rsidR="00941377" w:rsidRPr="00F755AB">
        <w:rPr>
          <w:rFonts w:asciiTheme="minorHAnsi" w:hAnsiTheme="minorHAnsi" w:cstheme="minorHAnsi"/>
          <w:color w:val="auto"/>
          <w:szCs w:val="20"/>
        </w:rPr>
        <w:t>Note sur</w:t>
      </w:r>
      <w:r w:rsidR="00FA53E7" w:rsidRPr="00F755AB">
        <w:rPr>
          <w:rFonts w:asciiTheme="minorHAnsi" w:hAnsiTheme="minorHAnsi" w:cstheme="minorHAnsi"/>
          <w:color w:val="auto"/>
          <w:szCs w:val="20"/>
        </w:rPr>
        <w:t xml:space="preserve"> l’interprétation de la circulaire frontière par la DGS résultant d’échange </w:t>
      </w:r>
      <w:r w:rsidR="00DC149F" w:rsidRPr="00F755AB">
        <w:rPr>
          <w:rFonts w:asciiTheme="minorHAnsi" w:hAnsiTheme="minorHAnsi" w:cstheme="minorHAnsi"/>
          <w:color w:val="auto"/>
          <w:szCs w:val="20"/>
        </w:rPr>
        <w:t>sur l’</w:t>
      </w:r>
      <w:r w:rsidR="00FA53E7" w:rsidRPr="00F755AB">
        <w:rPr>
          <w:rFonts w:asciiTheme="minorHAnsi" w:hAnsiTheme="minorHAnsi" w:cstheme="minorHAnsi"/>
          <w:color w:val="auto"/>
          <w:szCs w:val="20"/>
        </w:rPr>
        <w:t xml:space="preserve">ETP </w:t>
      </w:r>
      <w:r w:rsidR="00DC149F" w:rsidRPr="00F755AB">
        <w:rPr>
          <w:rFonts w:asciiTheme="minorHAnsi" w:hAnsiTheme="minorHAnsi" w:cstheme="minorHAnsi"/>
          <w:color w:val="auto"/>
          <w:szCs w:val="20"/>
        </w:rPr>
        <w:t xml:space="preserve">avec le </w:t>
      </w:r>
      <w:r w:rsidR="00FA53E7" w:rsidRPr="00F755AB">
        <w:rPr>
          <w:rFonts w:asciiTheme="minorHAnsi" w:hAnsiTheme="minorHAnsi" w:cstheme="minorHAnsi"/>
          <w:color w:val="auto"/>
          <w:szCs w:val="20"/>
        </w:rPr>
        <w:t xml:space="preserve">Ministère </w:t>
      </w:r>
    </w:p>
    <w:p w14:paraId="15FCF08A" w14:textId="77777777" w:rsidR="005C7D7E" w:rsidRPr="00F207C0" w:rsidRDefault="005C7D7E" w:rsidP="005C7D7E">
      <w:pPr>
        <w:pStyle w:val="Corpsdetexte"/>
      </w:pPr>
    </w:p>
    <w:p w14:paraId="38641D21" w14:textId="4894CF75" w:rsidR="005C7D7E" w:rsidRPr="002C1B13" w:rsidRDefault="00F755AB" w:rsidP="005C7D7E">
      <w:pPr>
        <w:pStyle w:val="Corpsdetexte"/>
      </w:pPr>
      <w:r>
        <w:t>L</w:t>
      </w:r>
      <w:r w:rsidR="005C7D7E" w:rsidRPr="00F207C0">
        <w:t xml:space="preserve">’ARS-NA a interpellé la référente ETP de la Direction générale de la santé (DGS) afin d’éclaircir </w:t>
      </w:r>
      <w:r w:rsidR="005C7D7E" w:rsidRPr="00F207C0">
        <w:rPr>
          <w:rFonts w:asciiTheme="minorHAnsi" w:hAnsiTheme="minorHAnsi" w:cstheme="minorHAnsi"/>
          <w:szCs w:val="20"/>
        </w:rPr>
        <w:t>l’interprétation de la circulaire du 10 septembre 2020</w:t>
      </w:r>
      <w:r w:rsidR="002C1B13">
        <w:rPr>
          <w:rFonts w:asciiTheme="minorHAnsi" w:hAnsiTheme="minorHAnsi" w:cstheme="minorHAnsi"/>
          <w:szCs w:val="20"/>
        </w:rPr>
        <w:t xml:space="preserve"> </w:t>
      </w:r>
      <w:r w:rsidR="005C7D7E" w:rsidRPr="00F755AB">
        <w:rPr>
          <w:rFonts w:asciiTheme="minorHAnsi" w:eastAsia="Times New Roman" w:hAnsiTheme="minorHAnsi" w:cstheme="minorHAnsi"/>
          <w:szCs w:val="20"/>
          <w:lang w:eastAsia="fr-FR"/>
        </w:rPr>
        <w:t xml:space="preserve">relative à la gradation des prises en charge ambulatoires réalisées au sein des établissements de santé (en PJ). </w:t>
      </w:r>
    </w:p>
    <w:p w14:paraId="66ED5800" w14:textId="0330F5FE" w:rsidR="005C691C" w:rsidRDefault="005C691C" w:rsidP="005C691C">
      <w:pPr>
        <w:pStyle w:val="Corpsdetexte"/>
        <w:rPr>
          <w:rFonts w:asciiTheme="minorHAnsi" w:eastAsia="Times New Roman" w:hAnsiTheme="minorHAnsi" w:cstheme="minorHAnsi"/>
          <w:szCs w:val="20"/>
          <w:lang w:eastAsia="fr-FR"/>
        </w:rPr>
      </w:pPr>
    </w:p>
    <w:p w14:paraId="58FEDEE5" w14:textId="7DEB670F" w:rsidR="005C691C" w:rsidRPr="005C691C" w:rsidRDefault="005C691C" w:rsidP="005C691C">
      <w:pPr>
        <w:pStyle w:val="Objet"/>
        <w:jc w:val="both"/>
        <w:rPr>
          <w:rFonts w:asciiTheme="minorHAnsi" w:hAnsiTheme="minorHAnsi" w:cstheme="minorHAnsi"/>
          <w:szCs w:val="20"/>
        </w:rPr>
      </w:pPr>
    </w:p>
    <w:p w14:paraId="7478DFC8" w14:textId="4257C46C" w:rsidR="00E97EB5" w:rsidRPr="00F207C0" w:rsidRDefault="00FB704A" w:rsidP="00E97EB5">
      <w:pPr>
        <w:jc w:val="both"/>
        <w:rPr>
          <w:rFonts w:asciiTheme="minorHAnsi" w:hAnsiTheme="minorHAnsi" w:cstheme="minorHAnsi"/>
          <w:b/>
          <w:bCs/>
          <w:sz w:val="20"/>
          <w:szCs w:val="20"/>
          <w:lang w:val="fr-FR"/>
        </w:rPr>
      </w:pPr>
      <w:r w:rsidRPr="00F207C0">
        <w:rPr>
          <w:rFonts w:asciiTheme="minorHAnsi" w:hAnsiTheme="minorHAnsi" w:cstheme="minorHAnsi"/>
          <w:b/>
          <w:bCs/>
          <w:sz w:val="20"/>
          <w:szCs w:val="20"/>
          <w:lang w:val="fr-FR"/>
        </w:rPr>
        <w:t xml:space="preserve">1 - </w:t>
      </w:r>
      <w:r w:rsidR="00FA53E7" w:rsidRPr="00F207C0">
        <w:rPr>
          <w:rFonts w:asciiTheme="minorHAnsi" w:hAnsiTheme="minorHAnsi" w:cstheme="minorHAnsi"/>
          <w:b/>
          <w:bCs/>
          <w:sz w:val="20"/>
          <w:szCs w:val="20"/>
          <w:lang w:val="fr-FR"/>
        </w:rPr>
        <w:t xml:space="preserve">Réponse </w:t>
      </w:r>
      <w:r w:rsidR="005C691C">
        <w:rPr>
          <w:rFonts w:asciiTheme="minorHAnsi" w:hAnsiTheme="minorHAnsi" w:cstheme="minorHAnsi"/>
          <w:b/>
          <w:bCs/>
          <w:sz w:val="20"/>
          <w:szCs w:val="20"/>
          <w:lang w:val="fr-FR"/>
        </w:rPr>
        <w:t>de la</w:t>
      </w:r>
      <w:r w:rsidR="00DC149F" w:rsidRPr="00F207C0">
        <w:rPr>
          <w:rFonts w:asciiTheme="minorHAnsi" w:hAnsiTheme="minorHAnsi" w:cstheme="minorHAnsi"/>
          <w:b/>
          <w:bCs/>
          <w:sz w:val="20"/>
          <w:szCs w:val="20"/>
          <w:lang w:val="fr-FR"/>
        </w:rPr>
        <w:t xml:space="preserve"> DGS c</w:t>
      </w:r>
      <w:r w:rsidR="00E97EB5" w:rsidRPr="00F207C0">
        <w:rPr>
          <w:rFonts w:asciiTheme="minorHAnsi" w:hAnsiTheme="minorHAnsi" w:cstheme="minorHAnsi"/>
          <w:b/>
          <w:bCs/>
          <w:sz w:val="20"/>
          <w:szCs w:val="20"/>
          <w:lang w:val="fr-FR"/>
        </w:rPr>
        <w:t xml:space="preserve">oncernant l’interprétation de la circulaire du 10 septembre 2020 </w:t>
      </w:r>
    </w:p>
    <w:p w14:paraId="3142F026" w14:textId="4FD5D66C" w:rsidR="00E97EB5" w:rsidRPr="00F207C0" w:rsidRDefault="00E97EB5" w:rsidP="00E97EB5">
      <w:pPr>
        <w:jc w:val="both"/>
        <w:rPr>
          <w:rFonts w:asciiTheme="minorHAnsi" w:hAnsiTheme="minorHAnsi" w:cstheme="minorHAnsi"/>
          <w:b/>
          <w:bCs/>
          <w:sz w:val="20"/>
          <w:szCs w:val="20"/>
          <w:lang w:val="fr-FR"/>
        </w:rPr>
      </w:pPr>
    </w:p>
    <w:p w14:paraId="6A58E2EB" w14:textId="3C173236" w:rsidR="00FA53E7" w:rsidRPr="002C1B13" w:rsidRDefault="00FA53E7" w:rsidP="00E97EB5">
      <w:pPr>
        <w:spacing w:after="150"/>
        <w:jc w:val="both"/>
        <w:rPr>
          <w:rFonts w:asciiTheme="minorHAnsi" w:eastAsia="Times New Roman" w:hAnsiTheme="minorHAnsi" w:cstheme="minorHAnsi"/>
          <w:sz w:val="20"/>
          <w:szCs w:val="20"/>
          <w:lang w:val="fr-FR" w:eastAsia="fr-FR"/>
        </w:rPr>
      </w:pPr>
      <w:r w:rsidRPr="002C1B13">
        <w:rPr>
          <w:rFonts w:asciiTheme="minorHAnsi" w:eastAsia="Times New Roman" w:hAnsiTheme="minorHAnsi" w:cstheme="minorHAnsi"/>
          <w:sz w:val="20"/>
          <w:szCs w:val="20"/>
          <w:lang w:val="fr-FR" w:eastAsia="fr-FR"/>
        </w:rPr>
        <w:t>Il n'est pas possible de basculer automatiquement le financement de l'éducation thérapeutique (ETP) dans le cadre de la facturation d'un séjour hospitalier (GHS) à l'assurance maladie lors d'une hospitalisation de jour (HDJ). Le financement de l'hospitalisation de jour via un GHS n'est en effet pas substitutif au financement de l'éducation thérapeutique. Il s'agit de deux logiques différentes :</w:t>
      </w:r>
    </w:p>
    <w:p w14:paraId="6F063E17" w14:textId="77777777" w:rsidR="00FA53E7" w:rsidRPr="00F755AB" w:rsidRDefault="00FA53E7" w:rsidP="00E97EB5">
      <w:pPr>
        <w:spacing w:after="150"/>
        <w:jc w:val="both"/>
        <w:rPr>
          <w:rFonts w:asciiTheme="minorHAnsi" w:eastAsia="Times New Roman" w:hAnsiTheme="minorHAnsi" w:cstheme="minorHAnsi"/>
          <w:sz w:val="20"/>
          <w:szCs w:val="20"/>
          <w:lang w:val="fr-FR" w:eastAsia="fr-FR"/>
        </w:rPr>
      </w:pPr>
      <w:r w:rsidRPr="00F755AB">
        <w:rPr>
          <w:rFonts w:asciiTheme="minorHAnsi" w:eastAsia="Times New Roman" w:hAnsiTheme="minorHAnsi" w:cstheme="minorHAnsi"/>
          <w:sz w:val="20"/>
          <w:szCs w:val="20"/>
          <w:lang w:val="fr-FR" w:eastAsia="fr-FR"/>
        </w:rPr>
        <w:t>- d'une part, l'éducation thérapeutique définie par le code de la santé publique (Articles L1161-1 à L1162-1) est financée sur la base d'un programme d'ETP retranscrit dans le dossier de déclaration préalable adressée à ou aux ARS territorialement concernées dans les conditions prévues à l'article R1161-4 du code de la santé publique. La mise en œuvre par l'établissement de santé de ce programme peut également conduire à une allocation financière de la part de la ou des ARS territorialement compétence au titre de leur fond d'intervention régional conformément à l'article R1435-16 du même code ;</w:t>
      </w:r>
    </w:p>
    <w:p w14:paraId="5D88E7B3" w14:textId="77777777" w:rsidR="00FA53E7" w:rsidRPr="00F755AB" w:rsidRDefault="00FA53E7" w:rsidP="00E97EB5">
      <w:pPr>
        <w:spacing w:after="150"/>
        <w:jc w:val="both"/>
        <w:rPr>
          <w:rFonts w:asciiTheme="minorHAnsi" w:eastAsia="Times New Roman" w:hAnsiTheme="minorHAnsi" w:cstheme="minorHAnsi"/>
          <w:sz w:val="20"/>
          <w:szCs w:val="20"/>
          <w:lang w:val="fr-FR" w:eastAsia="fr-FR"/>
        </w:rPr>
      </w:pPr>
      <w:r w:rsidRPr="00F755AB">
        <w:rPr>
          <w:rFonts w:asciiTheme="minorHAnsi" w:eastAsia="Times New Roman" w:hAnsiTheme="minorHAnsi" w:cstheme="minorHAnsi"/>
          <w:sz w:val="20"/>
          <w:szCs w:val="20"/>
          <w:lang w:val="fr-FR" w:eastAsia="fr-FR"/>
        </w:rPr>
        <w:t xml:space="preserve">- d'autre part, l'hospitalisation dans une structure d'HDJ est financée sur la base d'une logique médico-tarifaire nationalement établie qui vise à facturer à l'assurance maladie obligatoire un forfait correspondant à la réalisation d'un ensemble de prestations hospitalières réalisées dans le cadre d'un parcours patient, </w:t>
      </w:r>
      <w:proofErr w:type="gramStart"/>
      <w:r w:rsidRPr="00F755AB">
        <w:rPr>
          <w:rFonts w:asciiTheme="minorHAnsi" w:eastAsia="Times New Roman" w:hAnsiTheme="minorHAnsi" w:cstheme="minorHAnsi"/>
          <w:sz w:val="20"/>
          <w:szCs w:val="20"/>
          <w:lang w:val="fr-FR" w:eastAsia="fr-FR"/>
        </w:rPr>
        <w:t>suite à</w:t>
      </w:r>
      <w:proofErr w:type="gramEnd"/>
      <w:r w:rsidRPr="00F755AB">
        <w:rPr>
          <w:rFonts w:asciiTheme="minorHAnsi" w:eastAsia="Times New Roman" w:hAnsiTheme="minorHAnsi" w:cstheme="minorHAnsi"/>
          <w:sz w:val="20"/>
          <w:szCs w:val="20"/>
          <w:lang w:val="fr-FR" w:eastAsia="fr-FR"/>
        </w:rPr>
        <w:t xml:space="preserve"> l'établissement d'un diagnostic ayant motivé sa venue. Ce financement repose sur les dispositions prévues à l'article 11 de l'arrêté du 19 février 2015 relatif aux forfaits alloués aux établissements de santé mentionnés à l'article L. 162-22-6 du code de la sécurité sociale ayant des activités de médecine, chirurgie, obstétrique et odontologie ou ayant une activité d'hospitalisation à domicile.</w:t>
      </w:r>
    </w:p>
    <w:p w14:paraId="3585A2A8" w14:textId="77777777" w:rsidR="005C691C" w:rsidRDefault="005C691C" w:rsidP="00E97EB5">
      <w:pPr>
        <w:spacing w:after="150"/>
        <w:jc w:val="both"/>
        <w:rPr>
          <w:rFonts w:asciiTheme="minorHAnsi" w:eastAsia="Times New Roman" w:hAnsiTheme="minorHAnsi" w:cstheme="minorHAnsi"/>
          <w:b/>
          <w:bCs/>
          <w:sz w:val="20"/>
          <w:szCs w:val="20"/>
          <w:lang w:val="fr-FR" w:eastAsia="fr-FR"/>
        </w:rPr>
      </w:pPr>
    </w:p>
    <w:p w14:paraId="682D94DE" w14:textId="7B64238A" w:rsidR="00FA53E7" w:rsidRPr="00F755AB" w:rsidRDefault="00FA53E7" w:rsidP="00E97EB5">
      <w:pPr>
        <w:spacing w:after="150"/>
        <w:jc w:val="both"/>
        <w:rPr>
          <w:rFonts w:asciiTheme="minorHAnsi" w:eastAsia="Times New Roman" w:hAnsiTheme="minorHAnsi" w:cstheme="minorHAnsi"/>
          <w:sz w:val="20"/>
          <w:szCs w:val="20"/>
          <w:lang w:val="fr-FR" w:eastAsia="fr-FR"/>
        </w:rPr>
      </w:pPr>
      <w:r w:rsidRPr="00F755AB">
        <w:rPr>
          <w:rFonts w:asciiTheme="minorHAnsi" w:eastAsia="Times New Roman" w:hAnsiTheme="minorHAnsi" w:cstheme="minorHAnsi"/>
          <w:b/>
          <w:bCs/>
          <w:sz w:val="20"/>
          <w:szCs w:val="20"/>
          <w:lang w:val="fr-FR" w:eastAsia="fr-FR"/>
        </w:rPr>
        <w:t xml:space="preserve">Toutefois, une action d'éducation thérapeutique peut entrer dans le cadre de la prise en charge d'un </w:t>
      </w:r>
      <w:r w:rsidRPr="00F755AB">
        <w:rPr>
          <w:rFonts w:asciiTheme="minorHAnsi" w:eastAsia="Times New Roman" w:hAnsiTheme="minorHAnsi" w:cstheme="minorHAnsi"/>
          <w:b/>
          <w:bCs/>
          <w:sz w:val="20"/>
          <w:szCs w:val="20"/>
          <w:lang w:val="fr-FR" w:eastAsia="fr-FR"/>
        </w:rPr>
        <w:lastRenderedPageBreak/>
        <w:t>patient lors de sa venue pour une hospitalisation de jour.</w:t>
      </w:r>
    </w:p>
    <w:p w14:paraId="37B4F67F" w14:textId="63B78E29" w:rsidR="00FA53E7" w:rsidRPr="00F755AB" w:rsidRDefault="00FA53E7" w:rsidP="00E97EB5">
      <w:pPr>
        <w:spacing w:after="150"/>
        <w:jc w:val="both"/>
        <w:rPr>
          <w:rFonts w:asciiTheme="minorHAnsi" w:eastAsia="Times New Roman" w:hAnsiTheme="minorHAnsi" w:cstheme="minorHAnsi"/>
          <w:sz w:val="20"/>
          <w:szCs w:val="20"/>
          <w:lang w:val="fr-FR" w:eastAsia="fr-FR"/>
        </w:rPr>
      </w:pPr>
      <w:r w:rsidRPr="00F755AB">
        <w:rPr>
          <w:rFonts w:asciiTheme="minorHAnsi" w:eastAsia="Times New Roman" w:hAnsiTheme="minorHAnsi" w:cstheme="minorHAnsi"/>
          <w:sz w:val="20"/>
          <w:szCs w:val="20"/>
          <w:lang w:val="fr-FR" w:eastAsia="fr-FR"/>
        </w:rPr>
        <w:t>Dans ce cas, pour que l'établissement réalisant l'ETP puisse facturer à l'assurance maladie un GHS correspondant à une HDJ, il faudra que le parcours du patient dans lequel s'inscrit l'ETP réponde à </w:t>
      </w:r>
      <w:r w:rsidRPr="00F755AB">
        <w:rPr>
          <w:rFonts w:asciiTheme="minorHAnsi" w:eastAsia="Times New Roman" w:hAnsiTheme="minorHAnsi" w:cstheme="minorHAnsi"/>
          <w:b/>
          <w:bCs/>
          <w:sz w:val="20"/>
          <w:szCs w:val="20"/>
          <w:lang w:val="fr-FR" w:eastAsia="fr-FR"/>
        </w:rPr>
        <w:t>trois conditions cumulatives </w:t>
      </w:r>
      <w:r w:rsidRPr="00F755AB">
        <w:rPr>
          <w:rFonts w:asciiTheme="minorHAnsi" w:eastAsia="Times New Roman" w:hAnsiTheme="minorHAnsi" w:cstheme="minorHAnsi"/>
          <w:sz w:val="20"/>
          <w:szCs w:val="20"/>
          <w:lang w:val="fr-FR" w:eastAsia="fr-FR"/>
        </w:rPr>
        <w:t>:</w:t>
      </w:r>
    </w:p>
    <w:p w14:paraId="3461248E" w14:textId="04501B1E" w:rsidR="00FA53E7" w:rsidRPr="00F755AB" w:rsidRDefault="00FA53E7" w:rsidP="00E97EB5">
      <w:pPr>
        <w:spacing w:after="150"/>
        <w:jc w:val="both"/>
        <w:rPr>
          <w:rFonts w:asciiTheme="minorHAnsi" w:eastAsia="Times New Roman" w:hAnsiTheme="minorHAnsi" w:cstheme="minorHAnsi"/>
          <w:sz w:val="20"/>
          <w:szCs w:val="20"/>
          <w:lang w:val="fr-FR" w:eastAsia="fr-FR"/>
        </w:rPr>
      </w:pPr>
      <w:r w:rsidRPr="00F755AB">
        <w:rPr>
          <w:rFonts w:asciiTheme="minorHAnsi" w:eastAsia="Times New Roman" w:hAnsiTheme="minorHAnsi" w:cstheme="minorHAnsi"/>
          <w:sz w:val="20"/>
          <w:szCs w:val="20"/>
          <w:lang w:val="fr-FR" w:eastAsia="fr-FR"/>
        </w:rPr>
        <w:t>- </w:t>
      </w:r>
      <w:r w:rsidRPr="00F755AB">
        <w:rPr>
          <w:rFonts w:asciiTheme="minorHAnsi" w:eastAsia="Times New Roman" w:hAnsiTheme="minorHAnsi" w:cstheme="minorHAnsi"/>
          <w:b/>
          <w:bCs/>
          <w:sz w:val="20"/>
          <w:szCs w:val="20"/>
          <w:lang w:val="fr-FR" w:eastAsia="fr-FR"/>
        </w:rPr>
        <w:t>le patient devra être admis dans une structure d'hospitalisation à temps partiel individualisée</w:t>
      </w:r>
      <w:r w:rsidRPr="00F755AB">
        <w:rPr>
          <w:rFonts w:asciiTheme="minorHAnsi" w:eastAsia="Times New Roman" w:hAnsiTheme="minorHAnsi" w:cstheme="minorHAnsi"/>
          <w:sz w:val="20"/>
          <w:szCs w:val="20"/>
          <w:lang w:val="fr-FR" w:eastAsia="fr-FR"/>
        </w:rPr>
        <w:t>, respectant les conditions de fonctionnement telles que définies par les articles D. 6124-301-1 et suivants du code de la santé publique. La prise en charge du patient donne lieu à l'utilisation des moyens en locaux, en matériel et en personnel dont dispose la structure d'hospitalisation de jour. </w:t>
      </w:r>
    </w:p>
    <w:p w14:paraId="0DC41AD4" w14:textId="3E8F9F00" w:rsidR="00FA53E7" w:rsidRPr="00F755AB" w:rsidRDefault="00FA53E7" w:rsidP="00E97EB5">
      <w:pPr>
        <w:spacing w:after="150"/>
        <w:jc w:val="both"/>
        <w:rPr>
          <w:rFonts w:asciiTheme="minorHAnsi" w:eastAsia="Times New Roman" w:hAnsiTheme="minorHAnsi" w:cstheme="minorHAnsi"/>
          <w:sz w:val="20"/>
          <w:szCs w:val="20"/>
          <w:lang w:val="fr-FR" w:eastAsia="fr-FR"/>
        </w:rPr>
      </w:pPr>
      <w:r w:rsidRPr="00F755AB">
        <w:rPr>
          <w:rFonts w:asciiTheme="minorHAnsi" w:eastAsia="Times New Roman" w:hAnsiTheme="minorHAnsi" w:cstheme="minorHAnsi"/>
          <w:sz w:val="20"/>
          <w:szCs w:val="20"/>
          <w:lang w:val="fr-FR" w:eastAsia="fr-FR"/>
        </w:rPr>
        <w:t>- </w:t>
      </w:r>
      <w:r w:rsidRPr="00F755AB">
        <w:rPr>
          <w:rFonts w:asciiTheme="minorHAnsi" w:eastAsia="Times New Roman" w:hAnsiTheme="minorHAnsi" w:cstheme="minorHAnsi"/>
          <w:b/>
          <w:bCs/>
          <w:sz w:val="20"/>
          <w:szCs w:val="20"/>
          <w:lang w:val="fr-FR" w:eastAsia="fr-FR"/>
        </w:rPr>
        <w:t>la prise en charge du patient doit être coordonnée par un professionnel médical</w:t>
      </w:r>
      <w:r w:rsidRPr="00F755AB">
        <w:rPr>
          <w:rFonts w:asciiTheme="minorHAnsi" w:eastAsia="Times New Roman" w:hAnsiTheme="minorHAnsi" w:cstheme="minorHAnsi"/>
          <w:sz w:val="20"/>
          <w:szCs w:val="20"/>
          <w:lang w:val="fr-FR" w:eastAsia="fr-FR"/>
        </w:rPr>
        <w:t xml:space="preserve">, et donne lieu, comme pour les autres types de prises en charge, à la rédaction d'un compte-rendu d'hospitalisation ou de la lettre de liaison mentionnée à l'article R. 1112-1-2 du code de la santé publique. Seuls les professionnels médicaux définis à l'article L. 4111-1 du code de la santé publique (médecins, chirurgiens-dentistes et </w:t>
      </w:r>
      <w:r w:rsidR="00F207C0" w:rsidRPr="00F207C0">
        <w:rPr>
          <w:rFonts w:asciiTheme="minorHAnsi" w:eastAsia="Times New Roman" w:hAnsiTheme="minorHAnsi" w:cstheme="minorHAnsi"/>
          <w:sz w:val="20"/>
          <w:szCs w:val="20"/>
          <w:lang w:val="fr-FR" w:eastAsia="fr-FR"/>
        </w:rPr>
        <w:t>sage-femmes</w:t>
      </w:r>
      <w:r w:rsidRPr="00F755AB">
        <w:rPr>
          <w:rFonts w:asciiTheme="minorHAnsi" w:eastAsia="Times New Roman" w:hAnsiTheme="minorHAnsi" w:cstheme="minorHAnsi"/>
          <w:sz w:val="20"/>
          <w:szCs w:val="20"/>
          <w:lang w:val="fr-FR" w:eastAsia="fr-FR"/>
        </w:rPr>
        <w:t>) peuvent assurer la coordination de la prise en charge. </w:t>
      </w:r>
    </w:p>
    <w:p w14:paraId="10B99D62" w14:textId="6AE59E7A" w:rsidR="002C1B13" w:rsidRPr="002C1B13" w:rsidRDefault="00FA53E7" w:rsidP="00E97EB5">
      <w:pPr>
        <w:spacing w:after="150"/>
        <w:jc w:val="both"/>
        <w:rPr>
          <w:rFonts w:asciiTheme="minorHAnsi" w:eastAsia="Times New Roman" w:hAnsiTheme="minorHAnsi" w:cstheme="minorHAnsi"/>
          <w:sz w:val="20"/>
          <w:szCs w:val="20"/>
          <w:lang w:val="fr-FR" w:eastAsia="fr-FR"/>
        </w:rPr>
      </w:pPr>
      <w:r w:rsidRPr="00F755AB" w:rsidDel="00F207C0">
        <w:rPr>
          <w:rFonts w:asciiTheme="minorHAnsi" w:eastAsia="Times New Roman" w:hAnsiTheme="minorHAnsi" w:cstheme="minorHAnsi"/>
          <w:sz w:val="20"/>
          <w:szCs w:val="20"/>
          <w:lang w:val="fr-FR" w:eastAsia="fr-FR"/>
        </w:rPr>
        <w:t>A noter qu'il s'agit ici de la coordination de la venue du patient et non de la coordination du programme d'ETP au sein de l'établissement.</w:t>
      </w:r>
      <w:r w:rsidR="00987B9C">
        <w:rPr>
          <w:rFonts w:asciiTheme="minorHAnsi" w:eastAsia="Times New Roman" w:hAnsiTheme="minorHAnsi" w:cstheme="minorHAnsi"/>
          <w:sz w:val="20"/>
          <w:szCs w:val="20"/>
          <w:lang w:val="fr-FR" w:eastAsia="fr-FR"/>
        </w:rPr>
        <w:t xml:space="preserve"> </w:t>
      </w:r>
      <w:r w:rsidR="002C1B13">
        <w:rPr>
          <w:rFonts w:asciiTheme="minorHAnsi" w:eastAsia="Times New Roman" w:hAnsiTheme="minorHAnsi" w:cstheme="minorHAnsi"/>
          <w:sz w:val="20"/>
          <w:szCs w:val="20"/>
          <w:lang w:val="fr-FR" w:eastAsia="fr-FR"/>
        </w:rPr>
        <w:t>L</w:t>
      </w:r>
      <w:r w:rsidR="002C1B13" w:rsidRPr="002C1B13">
        <w:rPr>
          <w:rFonts w:asciiTheme="minorHAnsi" w:eastAsia="Times New Roman" w:hAnsiTheme="minorHAnsi" w:cstheme="minorHAnsi"/>
          <w:sz w:val="20"/>
          <w:szCs w:val="20"/>
          <w:lang w:val="fr-FR" w:eastAsia="fr-FR"/>
        </w:rPr>
        <w:t>a réalisation auprès du patient d'au moins deux autres interventions individuelles en sus d’une l'intervention collective d'ETP car il faut un minimum de trois interventions coordonnées pour pourvoir facturer un GHS</w:t>
      </w:r>
    </w:p>
    <w:p w14:paraId="26A0EB78" w14:textId="26D3AAB4" w:rsidR="002C1B13" w:rsidRPr="00F755AB" w:rsidRDefault="00FA53E7" w:rsidP="00E97EB5">
      <w:pPr>
        <w:spacing w:after="150"/>
        <w:jc w:val="both"/>
        <w:rPr>
          <w:rFonts w:asciiTheme="minorHAnsi" w:eastAsia="Times New Roman" w:hAnsiTheme="minorHAnsi" w:cstheme="minorHAnsi"/>
          <w:sz w:val="20"/>
          <w:szCs w:val="20"/>
          <w:lang w:val="fr-FR" w:eastAsia="fr-FR"/>
        </w:rPr>
      </w:pPr>
      <w:r w:rsidRPr="00F755AB">
        <w:rPr>
          <w:rFonts w:asciiTheme="minorHAnsi" w:eastAsia="Times New Roman" w:hAnsiTheme="minorHAnsi" w:cstheme="minorHAnsi"/>
          <w:sz w:val="20"/>
          <w:szCs w:val="20"/>
          <w:lang w:val="fr-FR" w:eastAsia="fr-FR"/>
        </w:rPr>
        <w:t>En conclusion :</w:t>
      </w:r>
    </w:p>
    <w:p w14:paraId="7367B13B" w14:textId="1FD5A3A0" w:rsidR="00F207C0" w:rsidRPr="00F755AB" w:rsidRDefault="00F755AB" w:rsidP="00E97EB5">
      <w:pPr>
        <w:widowControl/>
        <w:numPr>
          <w:ilvl w:val="0"/>
          <w:numId w:val="5"/>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r>
        <w:rPr>
          <w:rFonts w:asciiTheme="minorHAnsi" w:eastAsia="Times New Roman" w:hAnsiTheme="minorHAnsi" w:cstheme="minorHAnsi"/>
          <w:sz w:val="20"/>
          <w:szCs w:val="20"/>
          <w:lang w:val="fr-FR" w:eastAsia="fr-FR"/>
        </w:rPr>
        <w:t>L</w:t>
      </w:r>
      <w:r w:rsidR="00FA53E7" w:rsidRPr="00F755AB">
        <w:rPr>
          <w:rFonts w:asciiTheme="minorHAnsi" w:eastAsia="Times New Roman" w:hAnsiTheme="minorHAnsi" w:cstheme="minorHAnsi"/>
          <w:sz w:val="20"/>
          <w:szCs w:val="20"/>
          <w:lang w:val="fr-FR" w:eastAsia="fr-FR"/>
        </w:rPr>
        <w:t>a prise en charge d'un patient en hospitalisation de jour ne peut pas être motivée uniquement par sa participation au programme d'ETP et notamment à ses ateliers collectifs</w:t>
      </w:r>
      <w:r w:rsidR="00F207C0">
        <w:rPr>
          <w:rFonts w:asciiTheme="minorHAnsi" w:eastAsia="Times New Roman" w:hAnsiTheme="minorHAnsi" w:cstheme="minorHAnsi"/>
          <w:sz w:val="20"/>
          <w:szCs w:val="20"/>
          <w:lang w:val="fr-FR" w:eastAsia="fr-FR"/>
        </w:rPr>
        <w:t> ;</w:t>
      </w:r>
    </w:p>
    <w:p w14:paraId="0D36A8EE" w14:textId="77777777" w:rsidR="00F207C0" w:rsidRPr="00F755AB" w:rsidRDefault="00FA53E7" w:rsidP="00F207C0">
      <w:pPr>
        <w:widowControl/>
        <w:numPr>
          <w:ilvl w:val="0"/>
          <w:numId w:val="5"/>
        </w:numPr>
        <w:autoSpaceDE/>
        <w:autoSpaceDN/>
        <w:spacing w:before="100" w:beforeAutospacing="1" w:after="100" w:afterAutospacing="1"/>
        <w:jc w:val="both"/>
        <w:rPr>
          <w:rFonts w:asciiTheme="minorHAnsi" w:eastAsia="Times New Roman" w:hAnsiTheme="minorHAnsi" w:cstheme="minorHAnsi"/>
          <w:sz w:val="20"/>
          <w:szCs w:val="20"/>
          <w:lang w:val="fr-FR" w:eastAsia="fr-FR"/>
        </w:rPr>
      </w:pPr>
      <w:r w:rsidRPr="00F755AB">
        <w:rPr>
          <w:rFonts w:asciiTheme="minorHAnsi" w:eastAsia="Times New Roman" w:hAnsiTheme="minorHAnsi" w:cstheme="minorHAnsi"/>
          <w:sz w:val="20"/>
          <w:szCs w:val="20"/>
          <w:lang w:val="fr-FR" w:eastAsia="fr-FR"/>
        </w:rPr>
        <w:t>L'éducation thérapeutique peut faire partie du parcours du patient lors de sa prise en charge en hospitalisation de jour.</w:t>
      </w:r>
      <w:r w:rsidR="00F207C0" w:rsidRPr="00F207C0">
        <w:rPr>
          <w:rFonts w:asciiTheme="minorHAnsi" w:eastAsia="Times New Roman" w:hAnsiTheme="minorHAnsi" w:cstheme="minorHAnsi"/>
          <w:b/>
          <w:bCs/>
          <w:sz w:val="20"/>
          <w:szCs w:val="20"/>
          <w:lang w:val="fr-FR" w:eastAsia="fr-FR"/>
        </w:rPr>
        <w:t xml:space="preserve"> </w:t>
      </w:r>
    </w:p>
    <w:p w14:paraId="3DABF631" w14:textId="59E30B6F" w:rsidR="005C691C" w:rsidRPr="00347B0A" w:rsidRDefault="005C691C" w:rsidP="005C691C">
      <w:pPr>
        <w:jc w:val="both"/>
        <w:rPr>
          <w:rFonts w:asciiTheme="minorHAnsi" w:eastAsia="Times New Roman" w:hAnsiTheme="minorHAnsi" w:cstheme="minorHAnsi"/>
          <w:sz w:val="20"/>
          <w:szCs w:val="20"/>
          <w:lang w:val="fr-FR" w:eastAsia="fr-FR"/>
        </w:rPr>
      </w:pPr>
      <w:r w:rsidRPr="00347B0A">
        <w:rPr>
          <w:rFonts w:asciiTheme="minorHAnsi" w:eastAsia="Times New Roman" w:hAnsiTheme="minorHAnsi" w:cstheme="minorHAnsi"/>
          <w:b/>
          <w:bCs/>
          <w:sz w:val="20"/>
          <w:szCs w:val="20"/>
          <w:lang w:val="fr-FR" w:eastAsia="fr-FR"/>
        </w:rPr>
        <w:t>2 - Procédure de rescrit tarifaire</w:t>
      </w:r>
      <w:r w:rsidRPr="00347B0A">
        <w:rPr>
          <w:rFonts w:asciiTheme="minorHAnsi" w:eastAsia="Times New Roman" w:hAnsiTheme="minorHAnsi" w:cstheme="minorHAnsi"/>
          <w:sz w:val="20"/>
          <w:szCs w:val="20"/>
          <w:lang w:val="fr-FR" w:eastAsia="fr-FR"/>
        </w:rPr>
        <w:t> </w:t>
      </w:r>
      <w:r>
        <w:rPr>
          <w:rFonts w:asciiTheme="minorHAnsi" w:eastAsia="Times New Roman" w:hAnsiTheme="minorHAnsi" w:cstheme="minorHAnsi"/>
          <w:sz w:val="20"/>
          <w:szCs w:val="20"/>
          <w:lang w:val="fr-FR" w:eastAsia="fr-FR"/>
        </w:rPr>
        <w:t xml:space="preserve">organisée par l’assurance maladie </w:t>
      </w:r>
      <w:r w:rsidRPr="00347B0A">
        <w:rPr>
          <w:rFonts w:asciiTheme="minorHAnsi" w:eastAsia="Times New Roman" w:hAnsiTheme="minorHAnsi" w:cstheme="minorHAnsi"/>
          <w:sz w:val="20"/>
          <w:szCs w:val="20"/>
          <w:lang w:val="fr-FR" w:eastAsia="fr-FR"/>
        </w:rPr>
        <w:t xml:space="preserve"> </w:t>
      </w:r>
    </w:p>
    <w:p w14:paraId="09108A40" w14:textId="77777777" w:rsidR="005C691C" w:rsidRPr="00347B0A" w:rsidRDefault="005C691C" w:rsidP="005C691C">
      <w:pPr>
        <w:jc w:val="both"/>
        <w:rPr>
          <w:rFonts w:asciiTheme="minorHAnsi" w:eastAsia="Times New Roman" w:hAnsiTheme="minorHAnsi" w:cstheme="minorHAnsi"/>
          <w:sz w:val="20"/>
          <w:szCs w:val="20"/>
          <w:lang w:val="fr-FR" w:eastAsia="fr-FR"/>
        </w:rPr>
      </w:pPr>
    </w:p>
    <w:p w14:paraId="251E02FC" w14:textId="6CED297B" w:rsidR="00430085" w:rsidRDefault="005C691C" w:rsidP="005C691C">
      <w:pPr>
        <w:jc w:val="both"/>
        <w:rPr>
          <w:rFonts w:asciiTheme="minorHAnsi" w:hAnsiTheme="minorHAnsi" w:cstheme="minorHAnsi"/>
          <w:sz w:val="20"/>
          <w:szCs w:val="20"/>
          <w:lang w:val="fr-FR"/>
        </w:rPr>
      </w:pPr>
      <w:r w:rsidRPr="00F207C0">
        <w:rPr>
          <w:rFonts w:asciiTheme="minorHAnsi" w:hAnsiTheme="minorHAnsi" w:cstheme="minorHAnsi"/>
          <w:sz w:val="20"/>
          <w:szCs w:val="20"/>
          <w:lang w:val="fr-FR"/>
        </w:rPr>
        <w:t xml:space="preserve">Afin de sécuriser </w:t>
      </w:r>
      <w:r>
        <w:rPr>
          <w:rFonts w:asciiTheme="minorHAnsi" w:hAnsiTheme="minorHAnsi" w:cstheme="minorHAnsi"/>
          <w:sz w:val="20"/>
          <w:szCs w:val="20"/>
          <w:lang w:val="fr-FR"/>
        </w:rPr>
        <w:t>le financement de l’</w:t>
      </w:r>
      <w:r w:rsidRPr="00F207C0">
        <w:rPr>
          <w:rFonts w:asciiTheme="minorHAnsi" w:hAnsiTheme="minorHAnsi" w:cstheme="minorHAnsi"/>
          <w:sz w:val="20"/>
          <w:szCs w:val="20"/>
          <w:lang w:val="fr-FR"/>
        </w:rPr>
        <w:t>organisation d’ETP en hôpital de jour par l’assurance maladie</w:t>
      </w:r>
      <w:r>
        <w:rPr>
          <w:rFonts w:asciiTheme="minorHAnsi" w:hAnsiTheme="minorHAnsi" w:cstheme="minorHAnsi"/>
          <w:sz w:val="20"/>
          <w:szCs w:val="20"/>
          <w:lang w:val="fr-FR"/>
        </w:rPr>
        <w:t xml:space="preserve">, pour répondre en </w:t>
      </w:r>
      <w:r w:rsidR="00430085">
        <w:rPr>
          <w:rFonts w:asciiTheme="minorHAnsi" w:hAnsiTheme="minorHAnsi" w:cstheme="minorHAnsi"/>
          <w:sz w:val="20"/>
          <w:szCs w:val="20"/>
          <w:lang w:val="fr-FR"/>
        </w:rPr>
        <w:t xml:space="preserve">notamment aux </w:t>
      </w:r>
      <w:r w:rsidRPr="00F207C0">
        <w:rPr>
          <w:rFonts w:asciiTheme="minorHAnsi" w:hAnsiTheme="minorHAnsi" w:cstheme="minorHAnsi"/>
          <w:sz w:val="20"/>
          <w:szCs w:val="20"/>
          <w:lang w:val="fr-FR"/>
        </w:rPr>
        <w:t>contrôle</w:t>
      </w:r>
      <w:r w:rsidR="00430085">
        <w:rPr>
          <w:rFonts w:asciiTheme="minorHAnsi" w:hAnsiTheme="minorHAnsi" w:cstheme="minorHAnsi"/>
          <w:sz w:val="20"/>
          <w:szCs w:val="20"/>
          <w:lang w:val="fr-FR"/>
        </w:rPr>
        <w:t>s</w:t>
      </w:r>
      <w:r w:rsidRPr="00F207C0">
        <w:rPr>
          <w:rFonts w:asciiTheme="minorHAnsi" w:hAnsiTheme="minorHAnsi" w:cstheme="minorHAnsi"/>
          <w:sz w:val="20"/>
          <w:szCs w:val="20"/>
          <w:lang w:val="fr-FR"/>
        </w:rPr>
        <w:t xml:space="preserve"> de facturation T2A, il est possible de </w:t>
      </w:r>
      <w:r w:rsidR="00430085">
        <w:rPr>
          <w:rFonts w:asciiTheme="minorHAnsi" w:hAnsiTheme="minorHAnsi" w:cstheme="minorHAnsi"/>
          <w:sz w:val="20"/>
          <w:szCs w:val="20"/>
          <w:lang w:val="fr-FR"/>
        </w:rPr>
        <w:t>demander</w:t>
      </w:r>
      <w:r w:rsidRPr="00F207C0">
        <w:rPr>
          <w:rFonts w:asciiTheme="minorHAnsi" w:hAnsiTheme="minorHAnsi" w:cstheme="minorHAnsi"/>
          <w:sz w:val="20"/>
          <w:szCs w:val="20"/>
          <w:lang w:val="fr-FR"/>
        </w:rPr>
        <w:t xml:space="preserve"> </w:t>
      </w:r>
      <w:r w:rsidR="00430085">
        <w:rPr>
          <w:rFonts w:asciiTheme="minorHAnsi" w:hAnsiTheme="minorHAnsi" w:cstheme="minorHAnsi"/>
          <w:sz w:val="20"/>
          <w:szCs w:val="20"/>
          <w:lang w:val="fr-FR"/>
        </w:rPr>
        <w:t xml:space="preserve">à l’assurance maladie, un avis préalable (rescrit) sur les modalités de </w:t>
      </w:r>
      <w:r w:rsidRPr="00F207C0">
        <w:rPr>
          <w:rFonts w:asciiTheme="minorHAnsi" w:hAnsiTheme="minorHAnsi" w:cstheme="minorHAnsi"/>
          <w:sz w:val="20"/>
          <w:szCs w:val="20"/>
          <w:lang w:val="fr-FR"/>
        </w:rPr>
        <w:t xml:space="preserve">prise en charge </w:t>
      </w:r>
      <w:r w:rsidR="00430085">
        <w:rPr>
          <w:rFonts w:asciiTheme="minorHAnsi" w:hAnsiTheme="minorHAnsi" w:cstheme="minorHAnsi"/>
          <w:sz w:val="20"/>
          <w:szCs w:val="20"/>
          <w:lang w:val="fr-FR"/>
        </w:rPr>
        <w:t xml:space="preserve">envisagées. La réponse donnée engagera alors l’assurance maladie. </w:t>
      </w:r>
    </w:p>
    <w:p w14:paraId="389031AD" w14:textId="77777777" w:rsidR="00430085" w:rsidRDefault="00430085" w:rsidP="005C691C">
      <w:pPr>
        <w:jc w:val="both"/>
        <w:rPr>
          <w:rFonts w:asciiTheme="minorHAnsi" w:hAnsiTheme="minorHAnsi" w:cstheme="minorHAnsi"/>
          <w:sz w:val="20"/>
          <w:szCs w:val="20"/>
          <w:lang w:val="fr-FR"/>
        </w:rPr>
      </w:pPr>
    </w:p>
    <w:p w14:paraId="16DF114D" w14:textId="05F96A1A" w:rsidR="00430085" w:rsidRPr="00F755AB" w:rsidRDefault="00430085" w:rsidP="00430085">
      <w:pPr>
        <w:jc w:val="both"/>
        <w:rPr>
          <w:rFonts w:asciiTheme="minorHAnsi" w:hAnsiTheme="minorHAnsi" w:cstheme="minorHAnsi"/>
          <w:sz w:val="20"/>
          <w:szCs w:val="20"/>
          <w:lang w:val="fr-FR"/>
        </w:rPr>
      </w:pPr>
      <w:r>
        <w:rPr>
          <w:rFonts w:asciiTheme="minorHAnsi" w:hAnsiTheme="minorHAnsi" w:cstheme="minorHAnsi"/>
          <w:sz w:val="20"/>
          <w:szCs w:val="20"/>
          <w:lang w:val="fr-FR"/>
        </w:rPr>
        <w:t>Le dernier document mentionné ci-dessous dans les références est un exemple de rescrit tarifaire négatif pour un</w:t>
      </w:r>
      <w:r w:rsidR="005C691C" w:rsidRPr="00F207C0">
        <w:t xml:space="preserve"> </w:t>
      </w:r>
      <w:r w:rsidR="005C691C" w:rsidRPr="00F755AB">
        <w:rPr>
          <w:rFonts w:asciiTheme="minorHAnsi" w:hAnsiTheme="minorHAnsi" w:cstheme="minorHAnsi"/>
          <w:sz w:val="20"/>
          <w:szCs w:val="20"/>
          <w:lang w:val="fr-FR"/>
        </w:rPr>
        <w:t>programme d’ETP diabète gestationnel</w:t>
      </w:r>
      <w:r w:rsidRPr="00F755AB">
        <w:rPr>
          <w:rFonts w:asciiTheme="minorHAnsi" w:hAnsiTheme="minorHAnsi" w:cstheme="minorHAnsi"/>
          <w:sz w:val="20"/>
          <w:szCs w:val="20"/>
          <w:lang w:val="fr-FR"/>
        </w:rPr>
        <w:t xml:space="preserve">. </w:t>
      </w:r>
    </w:p>
    <w:p w14:paraId="53E28E91" w14:textId="4C680B69" w:rsidR="005C691C" w:rsidRPr="00F207C0" w:rsidRDefault="005C691C" w:rsidP="00F755AB">
      <w:pPr>
        <w:jc w:val="both"/>
      </w:pPr>
      <w:r w:rsidRPr="00F207C0">
        <w:t>.</w:t>
      </w:r>
    </w:p>
    <w:p w14:paraId="2096ABC0" w14:textId="123FB9E0" w:rsidR="00FA53E7" w:rsidRPr="00F755AB" w:rsidRDefault="005C7D7E" w:rsidP="00E97EB5">
      <w:pPr>
        <w:spacing w:after="150"/>
        <w:jc w:val="both"/>
        <w:rPr>
          <w:rFonts w:asciiTheme="minorHAnsi" w:eastAsia="Times New Roman" w:hAnsiTheme="minorHAnsi" w:cstheme="minorHAnsi"/>
          <w:b/>
          <w:bCs/>
          <w:sz w:val="20"/>
          <w:szCs w:val="20"/>
          <w:u w:val="single"/>
          <w:lang w:val="fr-FR" w:eastAsia="fr-FR"/>
        </w:rPr>
      </w:pPr>
      <w:r w:rsidRPr="00F755AB">
        <w:rPr>
          <w:rFonts w:asciiTheme="minorHAnsi" w:eastAsia="Times New Roman" w:hAnsiTheme="minorHAnsi" w:cstheme="minorHAnsi"/>
          <w:b/>
          <w:bCs/>
          <w:sz w:val="20"/>
          <w:szCs w:val="20"/>
          <w:u w:val="single"/>
          <w:lang w:val="fr-FR" w:eastAsia="fr-FR"/>
        </w:rPr>
        <w:t>R</w:t>
      </w:r>
      <w:r w:rsidR="00FA53E7" w:rsidRPr="00F755AB">
        <w:rPr>
          <w:rFonts w:asciiTheme="minorHAnsi" w:eastAsia="Times New Roman" w:hAnsiTheme="minorHAnsi" w:cstheme="minorHAnsi"/>
          <w:b/>
          <w:bCs/>
          <w:sz w:val="20"/>
          <w:szCs w:val="20"/>
          <w:u w:val="single"/>
          <w:lang w:val="fr-FR" w:eastAsia="fr-FR"/>
        </w:rPr>
        <w:t>éférences</w:t>
      </w:r>
      <w:r w:rsidR="00F755AB" w:rsidRPr="00F755AB">
        <w:rPr>
          <w:rFonts w:asciiTheme="minorHAnsi" w:eastAsia="Times New Roman" w:hAnsiTheme="minorHAnsi" w:cstheme="minorHAnsi"/>
          <w:b/>
          <w:bCs/>
          <w:sz w:val="20"/>
          <w:szCs w:val="20"/>
          <w:u w:val="single"/>
          <w:lang w:val="fr-FR" w:eastAsia="fr-FR"/>
        </w:rPr>
        <w:t xml:space="preserve"> </w:t>
      </w:r>
      <w:r w:rsidRPr="00F755AB">
        <w:rPr>
          <w:rFonts w:asciiTheme="minorHAnsi" w:eastAsia="Times New Roman" w:hAnsiTheme="minorHAnsi" w:cstheme="minorHAnsi"/>
          <w:b/>
          <w:bCs/>
          <w:sz w:val="20"/>
          <w:szCs w:val="20"/>
          <w:u w:val="single"/>
          <w:lang w:val="fr-FR" w:eastAsia="fr-FR"/>
        </w:rPr>
        <w:t>:</w:t>
      </w:r>
    </w:p>
    <w:p w14:paraId="4421813B" w14:textId="3F0D483D" w:rsidR="005C7D7E" w:rsidRPr="00F755AB" w:rsidRDefault="00FA53E7" w:rsidP="00E97EB5">
      <w:pPr>
        <w:spacing w:after="150"/>
        <w:jc w:val="both"/>
        <w:rPr>
          <w:rFonts w:asciiTheme="minorHAnsi" w:eastAsia="Times New Roman" w:hAnsiTheme="minorHAnsi" w:cstheme="minorHAnsi"/>
          <w:sz w:val="20"/>
          <w:szCs w:val="20"/>
          <w:lang w:val="fr-FR" w:eastAsia="fr-FR"/>
        </w:rPr>
      </w:pPr>
      <w:r w:rsidRPr="00F755AB">
        <w:rPr>
          <w:rFonts w:asciiTheme="minorHAnsi" w:eastAsia="Times New Roman" w:hAnsiTheme="minorHAnsi" w:cstheme="minorHAnsi"/>
          <w:b/>
          <w:bCs/>
          <w:sz w:val="20"/>
          <w:szCs w:val="20"/>
          <w:lang w:val="fr-FR" w:eastAsia="fr-FR"/>
        </w:rPr>
        <w:t>Arrêté du 19 février 2015</w:t>
      </w:r>
      <w:r w:rsidRPr="00F755AB">
        <w:rPr>
          <w:rFonts w:asciiTheme="minorHAnsi" w:eastAsia="Times New Roman" w:hAnsiTheme="minorHAnsi" w:cstheme="minorHAnsi"/>
          <w:sz w:val="20"/>
          <w:szCs w:val="20"/>
          <w:lang w:val="fr-FR" w:eastAsia="fr-FR"/>
        </w:rPr>
        <w:t xml:space="preserve"> relatif aux forfaits alloués aux établissements de santé mentionnés à l'article L. 162-22-6 du code de la sécurité sociale ayant des activités de médecine, chirurgie, obstétrique et odontologie ou ayant une activité d'hospitalisation à domicile (notamment son article 11) ;</w:t>
      </w:r>
    </w:p>
    <w:p w14:paraId="08573E5E" w14:textId="77777777" w:rsidR="00FA53E7" w:rsidRDefault="00FA53E7" w:rsidP="00E97EB5">
      <w:pPr>
        <w:spacing w:after="150"/>
        <w:jc w:val="both"/>
        <w:rPr>
          <w:rFonts w:asciiTheme="minorHAnsi" w:eastAsia="Times New Roman" w:hAnsiTheme="minorHAnsi" w:cstheme="minorHAnsi"/>
          <w:sz w:val="20"/>
          <w:szCs w:val="20"/>
          <w:lang w:val="fr-FR" w:eastAsia="fr-FR"/>
        </w:rPr>
      </w:pPr>
      <w:r w:rsidRPr="00F755AB">
        <w:rPr>
          <w:rFonts w:asciiTheme="minorHAnsi" w:eastAsia="Times New Roman" w:hAnsiTheme="minorHAnsi" w:cstheme="minorHAnsi"/>
          <w:b/>
          <w:bCs/>
          <w:sz w:val="20"/>
          <w:szCs w:val="20"/>
          <w:lang w:val="fr-FR" w:eastAsia="fr-FR"/>
        </w:rPr>
        <w:t>Instruction N° DGOS/R1/DSS/1A/2020/52 du 10 septembre 2020</w:t>
      </w:r>
      <w:r w:rsidRPr="00F755AB">
        <w:rPr>
          <w:rFonts w:asciiTheme="minorHAnsi" w:eastAsia="Times New Roman" w:hAnsiTheme="minorHAnsi" w:cstheme="minorHAnsi"/>
          <w:sz w:val="20"/>
          <w:szCs w:val="20"/>
          <w:lang w:val="fr-FR" w:eastAsia="fr-FR"/>
        </w:rPr>
        <w:t xml:space="preserve"> relative à la gradation des prises en charge ambulatoires réalisées au sein des établissements de santé ayant des activités de médecine, chirurgie, obstétrique et odontologie ou ayant une activité d'hospitalisation à domicile (notamment son annexe 4) ;</w:t>
      </w:r>
    </w:p>
    <w:p w14:paraId="30A0FA29" w14:textId="0AC7B2AE" w:rsidR="00430085" w:rsidRDefault="00430085" w:rsidP="00430085">
      <w:pPr>
        <w:jc w:val="both"/>
        <w:rPr>
          <w:rFonts w:asciiTheme="minorHAnsi" w:hAnsiTheme="minorHAnsi" w:cstheme="minorHAnsi"/>
          <w:sz w:val="20"/>
          <w:szCs w:val="20"/>
          <w:lang w:val="fr-FR"/>
        </w:rPr>
      </w:pPr>
      <w:r>
        <w:rPr>
          <w:rFonts w:asciiTheme="minorHAnsi" w:eastAsia="Times New Roman" w:hAnsiTheme="minorHAnsi" w:cstheme="minorHAnsi"/>
          <w:b/>
          <w:bCs/>
          <w:sz w:val="20"/>
          <w:szCs w:val="20"/>
          <w:lang w:val="fr-FR" w:eastAsia="fr-FR"/>
        </w:rPr>
        <w:t>Lien internet vers les m</w:t>
      </w:r>
      <w:r w:rsidRPr="00430085">
        <w:rPr>
          <w:rFonts w:asciiTheme="minorHAnsi" w:eastAsia="Times New Roman" w:hAnsiTheme="minorHAnsi" w:cstheme="minorHAnsi"/>
          <w:b/>
          <w:bCs/>
          <w:sz w:val="20"/>
          <w:szCs w:val="20"/>
          <w:lang w:val="fr-FR" w:eastAsia="fr-FR"/>
        </w:rPr>
        <w:t>odalités de facturation des activités ambulatoires hospitalières</w:t>
      </w:r>
      <w:r>
        <w:rPr>
          <w:rFonts w:asciiTheme="minorHAnsi" w:eastAsia="Times New Roman" w:hAnsiTheme="minorHAnsi" w:cstheme="minorHAnsi"/>
          <w:b/>
          <w:bCs/>
          <w:sz w:val="20"/>
          <w:szCs w:val="20"/>
          <w:lang w:val="fr-FR" w:eastAsia="fr-FR"/>
        </w:rPr>
        <w:t xml:space="preserve"> : </w:t>
      </w:r>
      <w:hyperlink r:id="rId11" w:history="1">
        <w:r w:rsidRPr="00347B0A">
          <w:rPr>
            <w:rStyle w:val="Lienhypertexte"/>
            <w:rFonts w:asciiTheme="minorHAnsi" w:hAnsiTheme="minorHAnsi" w:cstheme="minorHAnsi"/>
            <w:color w:val="auto"/>
            <w:sz w:val="20"/>
            <w:szCs w:val="20"/>
            <w:lang w:val="fr-FR"/>
          </w:rPr>
          <w:t>https://sante.gouv.fr/professionnels/gerer-un-etablissement-de-sante-medico-social/financement/modalites-de-facturation-des-activites-ambulatoires-hospitalieres/article/modalites-de-facturation-des-activites-ambulatoires-hospitalieres</w:t>
        </w:r>
      </w:hyperlink>
      <w:r w:rsidRPr="00F207C0">
        <w:rPr>
          <w:rFonts w:asciiTheme="minorHAnsi" w:hAnsiTheme="minorHAnsi" w:cstheme="minorHAnsi"/>
          <w:sz w:val="20"/>
          <w:szCs w:val="20"/>
          <w:lang w:val="fr-FR"/>
        </w:rPr>
        <w:t>.</w:t>
      </w:r>
    </w:p>
    <w:p w14:paraId="5AFD319B" w14:textId="77777777" w:rsidR="00430085" w:rsidRPr="00F207C0" w:rsidRDefault="00430085" w:rsidP="00430085">
      <w:pPr>
        <w:jc w:val="both"/>
        <w:rPr>
          <w:rFonts w:asciiTheme="minorHAnsi" w:hAnsiTheme="minorHAnsi" w:cstheme="minorHAnsi"/>
          <w:sz w:val="20"/>
          <w:szCs w:val="20"/>
          <w:lang w:val="fr-FR"/>
        </w:rPr>
      </w:pPr>
    </w:p>
    <w:p w14:paraId="24F5BF0F" w14:textId="7EF4D89E" w:rsidR="00FA53E7" w:rsidRPr="00F755AB" w:rsidRDefault="00FA53E7" w:rsidP="00E97EB5">
      <w:pPr>
        <w:spacing w:after="150"/>
        <w:jc w:val="both"/>
        <w:rPr>
          <w:rFonts w:asciiTheme="minorHAnsi" w:eastAsia="Times New Roman" w:hAnsiTheme="minorHAnsi" w:cstheme="minorHAnsi"/>
          <w:sz w:val="20"/>
          <w:szCs w:val="20"/>
          <w:lang w:val="fr-FR" w:eastAsia="fr-FR"/>
        </w:rPr>
      </w:pPr>
      <w:r w:rsidRPr="00F755AB">
        <w:rPr>
          <w:rFonts w:asciiTheme="minorHAnsi" w:eastAsia="Times New Roman" w:hAnsiTheme="minorHAnsi" w:cstheme="minorHAnsi"/>
          <w:b/>
          <w:bCs/>
          <w:sz w:val="20"/>
          <w:szCs w:val="20"/>
          <w:lang w:val="fr-FR" w:eastAsia="fr-FR"/>
        </w:rPr>
        <w:t>Rescrit tarifaire : BO Santé - Protection sociale - Solidarité n° 2022/3 du 15 février 2022</w:t>
      </w:r>
      <w:r w:rsidRPr="00F755AB">
        <w:rPr>
          <w:rFonts w:asciiTheme="minorHAnsi" w:eastAsia="Times New Roman" w:hAnsiTheme="minorHAnsi" w:cstheme="minorHAnsi"/>
          <w:sz w:val="20"/>
          <w:szCs w:val="20"/>
          <w:lang w:val="fr-FR" w:eastAsia="fr-FR"/>
        </w:rPr>
        <w:t> : Rescrit tarifaire BOS-RES-1 du 17 décembre 2021 en réponse à la demande formulée par le centre hospitalier Rives de Seine le 29 juin 2021 relative à la prise en charge sans nuitée d'un diabète gestationnel en atelier (NOR : SSAH2230112X)</w:t>
      </w:r>
      <w:r w:rsidR="00E97EB5" w:rsidRPr="00F755AB">
        <w:rPr>
          <w:rFonts w:asciiTheme="minorHAnsi" w:eastAsia="Times New Roman" w:hAnsiTheme="minorHAnsi" w:cstheme="minorHAnsi"/>
          <w:sz w:val="20"/>
          <w:szCs w:val="20"/>
          <w:lang w:val="fr-FR" w:eastAsia="fr-FR"/>
        </w:rPr>
        <w:t>”</w:t>
      </w:r>
    </w:p>
    <w:p w14:paraId="10D737A3" w14:textId="77777777" w:rsidR="003240AC" w:rsidRPr="00F207C0" w:rsidRDefault="003240AC" w:rsidP="00E97EB5">
      <w:pPr>
        <w:pStyle w:val="Corpsdetexte"/>
        <w:jc w:val="both"/>
        <w:rPr>
          <w:rFonts w:asciiTheme="minorHAnsi" w:hAnsiTheme="minorHAnsi" w:cstheme="minorHAnsi"/>
          <w:szCs w:val="20"/>
        </w:rPr>
      </w:pPr>
    </w:p>
    <w:p w14:paraId="2B7E1F70" w14:textId="77777777" w:rsidR="003240AC" w:rsidRPr="00F207C0" w:rsidRDefault="003240AC" w:rsidP="00E97EB5">
      <w:pPr>
        <w:pStyle w:val="Corpsdetexte"/>
        <w:jc w:val="both"/>
        <w:rPr>
          <w:rFonts w:asciiTheme="minorHAnsi" w:hAnsiTheme="minorHAnsi" w:cstheme="minorHAnsi"/>
          <w:szCs w:val="20"/>
        </w:rPr>
      </w:pPr>
    </w:p>
    <w:p w14:paraId="117731A8" w14:textId="36A593B4" w:rsidR="000924D0" w:rsidRPr="00F207C0" w:rsidRDefault="000924D0" w:rsidP="00B55B58">
      <w:pPr>
        <w:pStyle w:val="Corpsdetexte"/>
        <w:rPr>
          <w:rFonts w:asciiTheme="minorHAnsi" w:hAnsiTheme="minorHAnsi" w:cstheme="minorHAnsi"/>
          <w:szCs w:val="20"/>
        </w:rPr>
      </w:pPr>
    </w:p>
    <w:sectPr w:rsidR="000924D0" w:rsidRPr="00F207C0" w:rsidSect="002C08FC">
      <w:headerReference w:type="default" r:id="rId12"/>
      <w:footerReference w:type="default" r:id="rId13"/>
      <w:type w:val="continuous"/>
      <w:pgSz w:w="11910" w:h="16840"/>
      <w:pgMar w:top="966"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5684" w14:textId="77777777" w:rsidR="0063079A" w:rsidRDefault="0063079A" w:rsidP="0079276E">
      <w:r>
        <w:separator/>
      </w:r>
    </w:p>
  </w:endnote>
  <w:endnote w:type="continuationSeparator" w:id="0">
    <w:p w14:paraId="799EAA00" w14:textId="77777777" w:rsidR="0063079A" w:rsidRDefault="0063079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00276938"/>
      <w:docPartObj>
        <w:docPartGallery w:val="Page Numbers (Bottom of Page)"/>
        <w:docPartUnique/>
      </w:docPartObj>
    </w:sdtPr>
    <w:sdtEndPr>
      <w:rPr>
        <w:rStyle w:val="Numrodepage"/>
      </w:rPr>
    </w:sdtEndPr>
    <w:sdtContent>
      <w:p w14:paraId="3BB3517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94926DB"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7143" w14:textId="77777777" w:rsidR="00FF4879" w:rsidRDefault="00FF4879" w:rsidP="00FF4879">
    <w:pPr>
      <w:pStyle w:val="PieddePage2"/>
    </w:pPr>
    <w:r>
      <w:t>Tél standard : 09 69 37 00 33</w:t>
    </w:r>
  </w:p>
  <w:p w14:paraId="584BF526" w14:textId="77777777" w:rsidR="00FF4879" w:rsidRDefault="00FF4879" w:rsidP="00FF4879">
    <w:pPr>
      <w:pStyle w:val="Pieddepage20"/>
    </w:pPr>
    <w:r>
      <w:rPr>
        <w:position w:val="1"/>
      </w:rPr>
      <w:t>Adresse : 103 bis rue Belleville – CS 91704 - 33063 BORDEAUX Cedex</w:t>
    </w:r>
  </w:p>
  <w:p w14:paraId="75089C87" w14:textId="77777777" w:rsidR="0079276E" w:rsidRPr="00FF4879" w:rsidRDefault="00FF4879" w:rsidP="00FF4879">
    <w:pPr>
      <w:pStyle w:val="Pieddepage20"/>
      <w:rPr>
        <w:position w:val="1"/>
      </w:rPr>
    </w:pPr>
    <w:r>
      <w:rPr>
        <w:position w:val="1"/>
      </w:rPr>
      <w:t>www.ars.nouvelle.aquitaine.sante.fr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EndPr>
      <w:rPr>
        <w:rStyle w:val="Numrodepage"/>
      </w:rPr>
    </w:sdtEndPr>
    <w:sdtContent>
      <w:p w14:paraId="428E1D83" w14:textId="77777777"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F604E2">
          <w:rPr>
            <w:rStyle w:val="Numrodepage"/>
            <w:noProof/>
            <w:sz w:val="14"/>
            <w:szCs w:val="14"/>
            <w:lang w:val="fr-FR"/>
          </w:rPr>
          <w:t>2</w:t>
        </w:r>
        <w:r w:rsidRPr="002C53DF">
          <w:rPr>
            <w:rStyle w:val="Numrodepage"/>
            <w:sz w:val="14"/>
            <w:szCs w:val="14"/>
          </w:rPr>
          <w:fldChar w:fldCharType="end"/>
        </w:r>
      </w:p>
    </w:sdtContent>
  </w:sdt>
  <w:p w14:paraId="7723067A" w14:textId="77777777" w:rsidR="00713359" w:rsidRDefault="00713359" w:rsidP="00713359">
    <w:pPr>
      <w:pStyle w:val="PieddePage2"/>
    </w:pPr>
    <w:r>
      <w:t>Tél standard : 09 69 37 00 33</w:t>
    </w:r>
  </w:p>
  <w:p w14:paraId="15BC60A5" w14:textId="77777777" w:rsidR="00713359" w:rsidRDefault="00713359" w:rsidP="00713359">
    <w:pPr>
      <w:pStyle w:val="Pieddepage20"/>
    </w:pPr>
    <w:r>
      <w:rPr>
        <w:position w:val="1"/>
      </w:rPr>
      <w:t>Adresse : 103 bis rue Belleville – CS 91704 - 33063 BORDEAUX Cedex</w:t>
    </w:r>
  </w:p>
  <w:p w14:paraId="76D46A30" w14:textId="77777777" w:rsidR="00713359" w:rsidRPr="00FF4879" w:rsidRDefault="00713359" w:rsidP="00713359">
    <w:pPr>
      <w:pStyle w:val="Pieddepage20"/>
      <w:rPr>
        <w:position w:val="1"/>
      </w:rPr>
    </w:pPr>
    <w:r>
      <w:rPr>
        <w:position w:val="1"/>
      </w:rPr>
      <w:t>www.ars.nouvelle.aquitaine.sante.fr</w:t>
    </w:r>
  </w:p>
  <w:p w14:paraId="10A805D8" w14:textId="77777777" w:rsidR="002C53DF" w:rsidRDefault="002C53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E74D" w14:textId="77777777" w:rsidR="0063079A" w:rsidRDefault="0063079A" w:rsidP="0079276E">
      <w:r>
        <w:separator/>
      </w:r>
    </w:p>
  </w:footnote>
  <w:footnote w:type="continuationSeparator" w:id="0">
    <w:p w14:paraId="6C59C85E" w14:textId="77777777" w:rsidR="0063079A" w:rsidRDefault="0063079A"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9D07" w14:textId="77777777" w:rsidR="00992DBA" w:rsidRDefault="009F01B8" w:rsidP="002C08FC">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4384" behindDoc="0" locked="0" layoutInCell="1" allowOverlap="1" wp14:anchorId="6377727B" wp14:editId="786FB8BD">
          <wp:simplePos x="0" y="0"/>
          <wp:positionH relativeFrom="column">
            <wp:posOffset>4858357</wp:posOffset>
          </wp:positionH>
          <wp:positionV relativeFrom="paragraph">
            <wp:posOffset>163002</wp:posOffset>
          </wp:positionV>
          <wp:extent cx="1479914" cy="852832"/>
          <wp:effectExtent l="0" t="0" r="6350" b="4445"/>
          <wp:wrapNone/>
          <wp:docPr id="452962134" name="Image 45296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479914" cy="852832"/>
                  </a:xfrm>
                  <a:prstGeom prst="rect">
                    <a:avLst/>
                  </a:prstGeom>
                </pic:spPr>
              </pic:pic>
            </a:graphicData>
          </a:graphic>
          <wp14:sizeRelH relativeFrom="page">
            <wp14:pctWidth>0</wp14:pctWidth>
          </wp14:sizeRelH>
          <wp14:sizeRelV relativeFrom="page">
            <wp14:pctHeight>0</wp14:pctHeight>
          </wp14:sizeRelV>
        </wp:anchor>
      </w:drawing>
    </w:r>
    <w:r w:rsidR="004B516C">
      <w:rPr>
        <w:noProof/>
        <w:lang w:val="fr-FR" w:eastAsia="fr-FR"/>
      </w:rPr>
      <w:drawing>
        <wp:anchor distT="0" distB="0" distL="114300" distR="114300" simplePos="0" relativeHeight="251659264" behindDoc="0" locked="0" layoutInCell="1" allowOverlap="1" wp14:anchorId="710F259D" wp14:editId="6D22FB15">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383000351"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252512D4" w14:textId="77777777" w:rsidR="00992DBA" w:rsidRDefault="00992DBA" w:rsidP="002C08FC">
    <w:pPr>
      <w:pStyle w:val="En-tte"/>
      <w:tabs>
        <w:tab w:val="clear" w:pos="4513"/>
      </w:tabs>
      <w:ind w:right="59"/>
      <w:jc w:val="right"/>
      <w:rPr>
        <w:b/>
        <w:bCs/>
        <w:sz w:val="24"/>
        <w:szCs w:val="24"/>
      </w:rPr>
    </w:pPr>
  </w:p>
  <w:p w14:paraId="1A5002A5" w14:textId="77777777" w:rsidR="0079276E" w:rsidRDefault="0079276E">
    <w:pPr>
      <w:pStyle w:val="En-tte"/>
      <w:rPr>
        <w:lang w:val="fr-FR"/>
      </w:rPr>
    </w:pPr>
  </w:p>
  <w:p w14:paraId="0A822D31" w14:textId="77777777" w:rsidR="002C08FC" w:rsidRDefault="002C08FC">
    <w:pPr>
      <w:pStyle w:val="En-tte"/>
      <w:rPr>
        <w:lang w:val="fr-FR"/>
      </w:rPr>
    </w:pPr>
  </w:p>
  <w:p w14:paraId="3F0C5B96" w14:textId="77777777" w:rsidR="002C08FC" w:rsidRDefault="002C08FC">
    <w:pPr>
      <w:pStyle w:val="En-tte"/>
      <w:rPr>
        <w:lang w:val="fr-FR"/>
      </w:rPr>
    </w:pPr>
  </w:p>
  <w:p w14:paraId="58225877" w14:textId="77777777" w:rsidR="002C08FC" w:rsidRPr="00936E45" w:rsidRDefault="002C08FC">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A3D8"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3E784667"/>
    <w:multiLevelType w:val="hybridMultilevel"/>
    <w:tmpl w:val="2A380232"/>
    <w:lvl w:ilvl="0" w:tplc="99781258">
      <w:start w:val="1"/>
      <w:numFmt w:val="decimal"/>
      <w:lvlText w:val="%1-"/>
      <w:lvlJc w:val="left"/>
      <w:pPr>
        <w:ind w:left="720" w:hanging="360"/>
      </w:pPr>
      <w:rPr>
        <w:rFonts w:asciiTheme="minorHAnsi" w:eastAsia="Times New Roman"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4F5788"/>
    <w:multiLevelType w:val="multilevel"/>
    <w:tmpl w:val="897A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E3965"/>
    <w:multiLevelType w:val="hybridMultilevel"/>
    <w:tmpl w:val="C7C8C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1897322">
    <w:abstractNumId w:val="1"/>
  </w:num>
  <w:num w:numId="2" w16cid:durableId="480775042">
    <w:abstractNumId w:val="3"/>
  </w:num>
  <w:num w:numId="3" w16cid:durableId="1627850918">
    <w:abstractNumId w:val="4"/>
  </w:num>
  <w:num w:numId="4" w16cid:durableId="1572621380">
    <w:abstractNumId w:val="0"/>
  </w:num>
  <w:num w:numId="5" w16cid:durableId="1872954762">
    <w:abstractNumId w:val="5"/>
  </w:num>
  <w:num w:numId="6" w16cid:durableId="1580089961">
    <w:abstractNumId w:val="6"/>
  </w:num>
  <w:num w:numId="7" w16cid:durableId="1606183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29"/>
    <w:rsid w:val="00015220"/>
    <w:rsid w:val="00046EC0"/>
    <w:rsid w:val="000924D0"/>
    <w:rsid w:val="00094E05"/>
    <w:rsid w:val="000C0E29"/>
    <w:rsid w:val="00160E23"/>
    <w:rsid w:val="001B114A"/>
    <w:rsid w:val="001C79E5"/>
    <w:rsid w:val="001E0E49"/>
    <w:rsid w:val="00202B2A"/>
    <w:rsid w:val="002349FD"/>
    <w:rsid w:val="00290741"/>
    <w:rsid w:val="00290CE8"/>
    <w:rsid w:val="00293194"/>
    <w:rsid w:val="002C08FC"/>
    <w:rsid w:val="002C1B13"/>
    <w:rsid w:val="002C53DF"/>
    <w:rsid w:val="002E43F3"/>
    <w:rsid w:val="003240AC"/>
    <w:rsid w:val="003451EA"/>
    <w:rsid w:val="003D1DE1"/>
    <w:rsid w:val="0042101F"/>
    <w:rsid w:val="00430085"/>
    <w:rsid w:val="00434069"/>
    <w:rsid w:val="00437229"/>
    <w:rsid w:val="004529DA"/>
    <w:rsid w:val="004608CD"/>
    <w:rsid w:val="004936AF"/>
    <w:rsid w:val="004B16C9"/>
    <w:rsid w:val="004B516C"/>
    <w:rsid w:val="004C7346"/>
    <w:rsid w:val="004D0D46"/>
    <w:rsid w:val="004D1619"/>
    <w:rsid w:val="004E7415"/>
    <w:rsid w:val="00533FB0"/>
    <w:rsid w:val="005972E3"/>
    <w:rsid w:val="005B6F0D"/>
    <w:rsid w:val="005C4846"/>
    <w:rsid w:val="005C691C"/>
    <w:rsid w:val="005C7D7E"/>
    <w:rsid w:val="005E29E5"/>
    <w:rsid w:val="005F2E98"/>
    <w:rsid w:val="00601526"/>
    <w:rsid w:val="00625D93"/>
    <w:rsid w:val="0063079A"/>
    <w:rsid w:val="00651077"/>
    <w:rsid w:val="006B57FA"/>
    <w:rsid w:val="006D0F4C"/>
    <w:rsid w:val="006D502A"/>
    <w:rsid w:val="00713359"/>
    <w:rsid w:val="0076585D"/>
    <w:rsid w:val="007755A0"/>
    <w:rsid w:val="0079276E"/>
    <w:rsid w:val="007B30E4"/>
    <w:rsid w:val="007B6F11"/>
    <w:rsid w:val="007C1183"/>
    <w:rsid w:val="00807CCD"/>
    <w:rsid w:val="0081060F"/>
    <w:rsid w:val="00851458"/>
    <w:rsid w:val="008963DA"/>
    <w:rsid w:val="008A58C9"/>
    <w:rsid w:val="008A73FE"/>
    <w:rsid w:val="009167C1"/>
    <w:rsid w:val="00930B38"/>
    <w:rsid w:val="00936712"/>
    <w:rsid w:val="00936E45"/>
    <w:rsid w:val="00941377"/>
    <w:rsid w:val="009732A9"/>
    <w:rsid w:val="00987B9C"/>
    <w:rsid w:val="00992DBA"/>
    <w:rsid w:val="009C0C96"/>
    <w:rsid w:val="009F01B8"/>
    <w:rsid w:val="009F28F9"/>
    <w:rsid w:val="009F56A7"/>
    <w:rsid w:val="00A10A83"/>
    <w:rsid w:val="00A1486F"/>
    <w:rsid w:val="00A30EA6"/>
    <w:rsid w:val="00A84CCB"/>
    <w:rsid w:val="00AE48FE"/>
    <w:rsid w:val="00AF13F4"/>
    <w:rsid w:val="00AF1D5B"/>
    <w:rsid w:val="00B46AF7"/>
    <w:rsid w:val="00B503F5"/>
    <w:rsid w:val="00B55B58"/>
    <w:rsid w:val="00BE57C7"/>
    <w:rsid w:val="00C42380"/>
    <w:rsid w:val="00C42EFF"/>
    <w:rsid w:val="00C54C22"/>
    <w:rsid w:val="00C57F70"/>
    <w:rsid w:val="00C6288F"/>
    <w:rsid w:val="00C66322"/>
    <w:rsid w:val="00C67312"/>
    <w:rsid w:val="00C7451D"/>
    <w:rsid w:val="00CD24B6"/>
    <w:rsid w:val="00CD5E65"/>
    <w:rsid w:val="00CF4577"/>
    <w:rsid w:val="00D10C52"/>
    <w:rsid w:val="00D15D4F"/>
    <w:rsid w:val="00D75ED2"/>
    <w:rsid w:val="00D969E5"/>
    <w:rsid w:val="00DA2090"/>
    <w:rsid w:val="00DB604D"/>
    <w:rsid w:val="00DC149F"/>
    <w:rsid w:val="00DD50D6"/>
    <w:rsid w:val="00E05336"/>
    <w:rsid w:val="00E669F0"/>
    <w:rsid w:val="00E74F5A"/>
    <w:rsid w:val="00E97EB5"/>
    <w:rsid w:val="00EF5CF0"/>
    <w:rsid w:val="00F0251C"/>
    <w:rsid w:val="00F207C0"/>
    <w:rsid w:val="00F22CF7"/>
    <w:rsid w:val="00F24389"/>
    <w:rsid w:val="00F25DA3"/>
    <w:rsid w:val="00F261BB"/>
    <w:rsid w:val="00F604E2"/>
    <w:rsid w:val="00F755AB"/>
    <w:rsid w:val="00F7722A"/>
    <w:rsid w:val="00FA53E7"/>
    <w:rsid w:val="00FB704A"/>
    <w:rsid w:val="00FE5D6F"/>
    <w:rsid w:val="00FF4879"/>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881590"/>
  <w15:docId w15:val="{678329A5-C7D7-4775-9544-9E956637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ieddePage2Car">
    <w:name w:val="Pied de Page 2 Car"/>
    <w:basedOn w:val="Policepardfaut"/>
    <w:link w:val="PieddePage2"/>
    <w:locked/>
    <w:rsid w:val="00FF4879"/>
    <w:rPr>
      <w:color w:val="939598"/>
      <w:sz w:val="14"/>
      <w:lang w:val="fr-FR"/>
    </w:rPr>
  </w:style>
  <w:style w:type="paragraph" w:customStyle="1" w:styleId="PieddePage2">
    <w:name w:val="Pied de Page 2"/>
    <w:basedOn w:val="Normal"/>
    <w:next w:val="Corpsdetexte"/>
    <w:link w:val="PieddePage2Car"/>
    <w:qFormat/>
    <w:rsid w:val="00FF4879"/>
    <w:pPr>
      <w:spacing w:line="161" w:lineRule="exact"/>
    </w:pPr>
    <w:rPr>
      <w:color w:val="939598"/>
      <w:sz w:val="14"/>
      <w:lang w:val="fr-FR"/>
    </w:rPr>
  </w:style>
  <w:style w:type="character" w:customStyle="1" w:styleId="Pieddepage2Car0">
    <w:name w:val="Pied de page 2 Car"/>
    <w:basedOn w:val="Policepardfaut"/>
    <w:link w:val="Pieddepage20"/>
    <w:locked/>
    <w:rsid w:val="00FF4879"/>
    <w:rPr>
      <w:color w:val="939598"/>
      <w:sz w:val="14"/>
      <w:lang w:val="fr-FR"/>
    </w:rPr>
  </w:style>
  <w:style w:type="paragraph" w:customStyle="1" w:styleId="Pieddepage20">
    <w:name w:val="Pied de page 2"/>
    <w:basedOn w:val="Normal"/>
    <w:next w:val="Corpsdetexte"/>
    <w:link w:val="Pieddepage2Car0"/>
    <w:qFormat/>
    <w:rsid w:val="00FF4879"/>
    <w:pPr>
      <w:spacing w:line="161" w:lineRule="exact"/>
    </w:pPr>
    <w:rPr>
      <w:color w:val="939598"/>
      <w:sz w:val="14"/>
      <w:lang w:val="fr-FR"/>
    </w:rPr>
  </w:style>
  <w:style w:type="paragraph" w:styleId="Rvision">
    <w:name w:val="Revision"/>
    <w:hidden/>
    <w:uiPriority w:val="99"/>
    <w:semiHidden/>
    <w:rsid w:val="005C7D7E"/>
    <w:pPr>
      <w:widowControl/>
      <w:autoSpaceDE/>
      <w:autoSpaceDN/>
    </w:pPr>
  </w:style>
  <w:style w:type="character" w:styleId="Marquedecommentaire">
    <w:name w:val="annotation reference"/>
    <w:basedOn w:val="Policepardfaut"/>
    <w:uiPriority w:val="99"/>
    <w:semiHidden/>
    <w:unhideWhenUsed/>
    <w:rsid w:val="001B114A"/>
    <w:rPr>
      <w:sz w:val="16"/>
      <w:szCs w:val="16"/>
    </w:rPr>
  </w:style>
  <w:style w:type="paragraph" w:styleId="Commentaire">
    <w:name w:val="annotation text"/>
    <w:basedOn w:val="Normal"/>
    <w:link w:val="CommentaireCar"/>
    <w:uiPriority w:val="99"/>
    <w:unhideWhenUsed/>
    <w:rsid w:val="001B114A"/>
    <w:rPr>
      <w:sz w:val="20"/>
      <w:szCs w:val="20"/>
    </w:rPr>
  </w:style>
  <w:style w:type="character" w:customStyle="1" w:styleId="CommentaireCar">
    <w:name w:val="Commentaire Car"/>
    <w:basedOn w:val="Policepardfaut"/>
    <w:link w:val="Commentaire"/>
    <w:uiPriority w:val="99"/>
    <w:rsid w:val="001B114A"/>
    <w:rPr>
      <w:sz w:val="20"/>
      <w:szCs w:val="20"/>
    </w:rPr>
  </w:style>
  <w:style w:type="paragraph" w:styleId="Objetducommentaire">
    <w:name w:val="annotation subject"/>
    <w:basedOn w:val="Commentaire"/>
    <w:next w:val="Commentaire"/>
    <w:link w:val="ObjetducommentaireCar"/>
    <w:uiPriority w:val="99"/>
    <w:semiHidden/>
    <w:unhideWhenUsed/>
    <w:rsid w:val="001B114A"/>
    <w:rPr>
      <w:b/>
      <w:bCs/>
    </w:rPr>
  </w:style>
  <w:style w:type="character" w:customStyle="1" w:styleId="ObjetducommentaireCar">
    <w:name w:val="Objet du commentaire Car"/>
    <w:basedOn w:val="CommentaireCar"/>
    <w:link w:val="Objetducommentaire"/>
    <w:uiPriority w:val="99"/>
    <w:semiHidden/>
    <w:rsid w:val="001B114A"/>
    <w:rPr>
      <w:b/>
      <w:bCs/>
      <w:sz w:val="20"/>
      <w:szCs w:val="20"/>
    </w:rPr>
  </w:style>
  <w:style w:type="character" w:styleId="Lienhypertextesuivivisit">
    <w:name w:val="FollowedHyperlink"/>
    <w:basedOn w:val="Policepardfaut"/>
    <w:uiPriority w:val="99"/>
    <w:semiHidden/>
    <w:unhideWhenUsed/>
    <w:rsid w:val="005C691C"/>
    <w:rPr>
      <w:color w:val="5770B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3691">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045253231">
      <w:bodyDiv w:val="1"/>
      <w:marLeft w:val="0"/>
      <w:marRight w:val="0"/>
      <w:marTop w:val="0"/>
      <w:marBottom w:val="0"/>
      <w:divBdr>
        <w:top w:val="none" w:sz="0" w:space="0" w:color="auto"/>
        <w:left w:val="none" w:sz="0" w:space="0" w:color="auto"/>
        <w:bottom w:val="none" w:sz="0" w:space="0" w:color="auto"/>
        <w:right w:val="none" w:sz="0" w:space="0" w:color="auto"/>
      </w:divBdr>
    </w:div>
    <w:div w:id="2137209524">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te.gouv.fr/professionnels/gerer-un-etablissement-de-sante-medico-social/financement/modalites-de-facturation-des-activites-ambulatoires-hospitalieres/article/modalites-de-facturation-des-activites-ambulatoires-hospitalie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0A12A-0A29-4F36-A191-6EADD4CE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1044</Words>
  <Characters>5747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MARCOU, Philippe (ARS-NA/DPSA/DDSPE)</cp:lastModifiedBy>
  <cp:revision>4</cp:revision>
  <dcterms:created xsi:type="dcterms:W3CDTF">2025-03-04T12:12:00Z</dcterms:created>
  <dcterms:modified xsi:type="dcterms:W3CDTF">2025-03-04T12:55:00Z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